
<file path=[Content_Types].xml><?xml version="1.0" encoding="utf-8"?>
<Types xmlns="http://schemas.openxmlformats.org/package/2006/content-types">
  <Default Extension="png" ContentType="image/png"/>
  <Default Extension="tmp"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5DB" w:rsidRDefault="00394336">
      <w:pPr>
        <w:pStyle w:val="Corpsdetexte"/>
        <w:rPr>
          <w:rFonts w:ascii="Times New Roman"/>
        </w:rPr>
      </w:pPr>
      <w:r>
        <w:rPr>
          <w:noProof/>
          <w:lang w:eastAsia="fr-FR"/>
        </w:rPr>
        <w:drawing>
          <wp:anchor distT="0" distB="0" distL="0" distR="0" simplePos="0" relativeHeight="15730176" behindDoc="0" locked="0" layoutInCell="1" allowOverlap="1">
            <wp:simplePos x="0" y="0"/>
            <wp:positionH relativeFrom="page">
              <wp:posOffset>0</wp:posOffset>
            </wp:positionH>
            <wp:positionV relativeFrom="page">
              <wp:posOffset>12</wp:posOffset>
            </wp:positionV>
            <wp:extent cx="2267999" cy="190259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267999" cy="1902599"/>
                    </a:xfrm>
                    <a:prstGeom prst="rect">
                      <a:avLst/>
                    </a:prstGeom>
                  </pic:spPr>
                </pic:pic>
              </a:graphicData>
            </a:graphic>
          </wp:anchor>
        </w:drawing>
      </w:r>
    </w:p>
    <w:p w:rsidR="00F515DB" w:rsidRDefault="00F515DB">
      <w:pPr>
        <w:pStyle w:val="Corpsdetexte"/>
        <w:rPr>
          <w:rFonts w:ascii="Times New Roman"/>
        </w:rPr>
      </w:pPr>
    </w:p>
    <w:p w:rsidR="00F515DB" w:rsidRDefault="00F515DB">
      <w:pPr>
        <w:pStyle w:val="Corpsdetexte"/>
        <w:rPr>
          <w:rFonts w:ascii="Times New Roman"/>
        </w:rPr>
      </w:pPr>
    </w:p>
    <w:p w:rsidR="00F515DB" w:rsidRDefault="00F515DB">
      <w:pPr>
        <w:pStyle w:val="Corpsdetexte"/>
        <w:rPr>
          <w:rFonts w:ascii="Times New Roman"/>
        </w:rPr>
      </w:pPr>
    </w:p>
    <w:p w:rsidR="00F515DB" w:rsidRDefault="00F515DB">
      <w:pPr>
        <w:pStyle w:val="Corpsdetexte"/>
        <w:rPr>
          <w:rFonts w:ascii="Times New Roman"/>
        </w:rPr>
      </w:pPr>
    </w:p>
    <w:p w:rsidR="00F515DB" w:rsidRDefault="00F515DB">
      <w:pPr>
        <w:pStyle w:val="Corpsdetexte"/>
        <w:rPr>
          <w:rFonts w:ascii="Times New Roman"/>
        </w:rPr>
      </w:pPr>
    </w:p>
    <w:p w:rsidR="00F515DB" w:rsidRDefault="00F515DB" w:rsidP="0055390D">
      <w:pPr>
        <w:pStyle w:val="Corpsdetexte"/>
        <w:ind w:left="0"/>
        <w:rPr>
          <w:rFonts w:ascii="Times New Roman"/>
        </w:rPr>
      </w:pPr>
    </w:p>
    <w:p w:rsidR="00F515DB" w:rsidRDefault="00F515DB">
      <w:pPr>
        <w:pStyle w:val="Corpsdetexte"/>
        <w:spacing w:before="3"/>
        <w:rPr>
          <w:rFonts w:ascii="Times New Roman"/>
          <w:sz w:val="24"/>
        </w:rPr>
      </w:pPr>
    </w:p>
    <w:p w:rsidR="0038355B" w:rsidRDefault="0038355B" w:rsidP="0038355B">
      <w:pPr>
        <w:pStyle w:val="Titre"/>
        <w:ind w:left="993"/>
        <w:jc w:val="right"/>
      </w:pPr>
      <w:r>
        <w:t>NOTE DE PRESENTATION BREVE ET SYNTHETIQUE</w:t>
      </w:r>
    </w:p>
    <w:p w:rsidR="00EE5CF4" w:rsidRPr="00F44B55" w:rsidRDefault="0038355B" w:rsidP="0038355B">
      <w:pPr>
        <w:pStyle w:val="Titre"/>
        <w:ind w:left="0"/>
        <w:jc w:val="right"/>
      </w:pPr>
      <w:r>
        <w:t>DU BUDGET PRIMITIF 202</w:t>
      </w:r>
      <w:r w:rsidR="00C034AF">
        <w:t>5</w:t>
      </w:r>
      <w:r>
        <w:t xml:space="preserve"> – BUDGET PRINCIPAL VILLE</w:t>
      </w:r>
    </w:p>
    <w:p w:rsidR="00F515DB" w:rsidRDefault="009F2920">
      <w:pPr>
        <w:pStyle w:val="Corpsdetexte"/>
        <w:spacing w:before="3"/>
        <w:rPr>
          <w:b/>
          <w:sz w:val="11"/>
        </w:rPr>
      </w:pPr>
      <w:r>
        <w:rPr>
          <w:noProof/>
          <w:lang w:eastAsia="fr-FR"/>
        </w:rPr>
        <mc:AlternateContent>
          <mc:Choice Requires="wps">
            <w:drawing>
              <wp:anchor distT="0" distB="0" distL="0" distR="0" simplePos="0" relativeHeight="487587840" behindDoc="1" locked="0" layoutInCell="1" allowOverlap="1">
                <wp:simplePos x="0" y="0"/>
                <wp:positionH relativeFrom="page">
                  <wp:posOffset>3914775</wp:posOffset>
                </wp:positionH>
                <wp:positionV relativeFrom="paragraph">
                  <wp:posOffset>97790</wp:posOffset>
                </wp:positionV>
                <wp:extent cx="3033395" cy="1270"/>
                <wp:effectExtent l="0" t="0" r="0" b="0"/>
                <wp:wrapTopAndBottom/>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33395" cy="1270"/>
                        </a:xfrm>
                        <a:custGeom>
                          <a:avLst/>
                          <a:gdLst>
                            <a:gd name="T0" fmla="+- 0 6165 6165"/>
                            <a:gd name="T1" fmla="*/ T0 w 4777"/>
                            <a:gd name="T2" fmla="+- 0 10942 6165"/>
                            <a:gd name="T3" fmla="*/ T2 w 4777"/>
                          </a:gdLst>
                          <a:ahLst/>
                          <a:cxnLst>
                            <a:cxn ang="0">
                              <a:pos x="T1" y="0"/>
                            </a:cxn>
                            <a:cxn ang="0">
                              <a:pos x="T3" y="0"/>
                            </a:cxn>
                          </a:cxnLst>
                          <a:rect l="0" t="0" r="r" b="b"/>
                          <a:pathLst>
                            <a:path w="4777">
                              <a:moveTo>
                                <a:pt x="0" y="0"/>
                              </a:moveTo>
                              <a:lnTo>
                                <a:pt x="4777" y="0"/>
                              </a:lnTo>
                            </a:path>
                          </a:pathLst>
                        </a:custGeom>
                        <a:noFill/>
                        <a:ln w="381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EBB5E" id="docshape1" o:spid="_x0000_s1026" style="position:absolute;margin-left:308.25pt;margin-top:7.7pt;width:238.8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7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" path="m,l4777,e" filled="f" strokecolor="#231f20" strokeweight="3pt">
                <v:path arrowok="t" o:connecttype="custom" o:connectlocs="0,0;3033395,0" o:connectangles="0,0"/>
                <w10:wrap type="topAndBottom" anchorx="page"/>
              </v:shape>
            </w:pict>
          </mc:Fallback>
        </mc:AlternateContent>
      </w:r>
    </w:p>
    <w:p w:rsidR="00F515DB" w:rsidRDefault="00F515DB" w:rsidP="00A26D9F"/>
    <w:p w:rsidR="0038355B" w:rsidRDefault="0038355B">
      <w:pPr>
        <w:pStyle w:val="Corpsdetexte"/>
        <w:rPr>
          <w:b/>
          <w:sz w:val="16"/>
        </w:rPr>
      </w:pPr>
    </w:p>
    <w:p w:rsidR="00F515DB" w:rsidRPr="0038355B" w:rsidRDefault="00394336" w:rsidP="0038355B">
      <w:pPr>
        <w:spacing w:before="94"/>
        <w:jc w:val="both"/>
        <w:rPr>
          <w:color w:val="231F20"/>
        </w:rPr>
      </w:pPr>
      <w:r>
        <w:rPr>
          <w:b/>
          <w:color w:val="231F20"/>
        </w:rPr>
        <w:t>Objet :</w:t>
      </w:r>
      <w:r>
        <w:rPr>
          <w:b/>
          <w:color w:val="231F20"/>
          <w:spacing w:val="-1"/>
        </w:rPr>
        <w:t xml:space="preserve"> </w:t>
      </w:r>
      <w:r w:rsidR="0038355B" w:rsidRPr="0038355B">
        <w:rPr>
          <w:color w:val="231F20"/>
        </w:rPr>
        <w:t>Note de synthèse à destination des citoyens retraçant les informations financières essentielles du budget primitif 202</w:t>
      </w:r>
      <w:r w:rsidR="00C034AF">
        <w:rPr>
          <w:color w:val="231F20"/>
        </w:rPr>
        <w:t>5</w:t>
      </w:r>
      <w:r w:rsidR="0038355B" w:rsidRPr="0038355B">
        <w:rPr>
          <w:color w:val="231F20"/>
        </w:rPr>
        <w:t xml:space="preserve"> de la </w:t>
      </w:r>
      <w:r w:rsidR="00975448">
        <w:rPr>
          <w:color w:val="231F20"/>
        </w:rPr>
        <w:t>V</w:t>
      </w:r>
      <w:r w:rsidR="0038355B" w:rsidRPr="0038355B">
        <w:rPr>
          <w:color w:val="231F20"/>
        </w:rPr>
        <w:t>ille</w:t>
      </w:r>
    </w:p>
    <w:p w:rsidR="00F515DB" w:rsidRDefault="009F2920" w:rsidP="00A26D9F">
      <w:r>
        <w:rPr>
          <w:noProof/>
          <w:lang w:eastAsia="fr-FR"/>
        </w:rPr>
        <mc:AlternateContent>
          <mc:Choice Requires="wps">
            <w:drawing>
              <wp:anchor distT="0" distB="0" distL="0" distR="0" simplePos="0" relativeHeight="487588352" behindDoc="1" locked="0" layoutInCell="1" allowOverlap="1">
                <wp:simplePos x="0" y="0"/>
                <wp:positionH relativeFrom="page">
                  <wp:posOffset>612140</wp:posOffset>
                </wp:positionH>
                <wp:positionV relativeFrom="paragraph">
                  <wp:posOffset>152400</wp:posOffset>
                </wp:positionV>
                <wp:extent cx="180340" cy="1270"/>
                <wp:effectExtent l="0" t="0" r="0" b="0"/>
                <wp:wrapTopAndBottom/>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340" cy="1270"/>
                        </a:xfrm>
                        <a:custGeom>
                          <a:avLst/>
                          <a:gdLst>
                            <a:gd name="T0" fmla="+- 0 964 964"/>
                            <a:gd name="T1" fmla="*/ T0 w 284"/>
                            <a:gd name="T2" fmla="+- 0 1247 964"/>
                            <a:gd name="T3" fmla="*/ T2 w 284"/>
                          </a:gdLst>
                          <a:ahLst/>
                          <a:cxnLst>
                            <a:cxn ang="0">
                              <a:pos x="T1" y="0"/>
                            </a:cxn>
                            <a:cxn ang="0">
                              <a:pos x="T3" y="0"/>
                            </a:cxn>
                          </a:cxnLst>
                          <a:rect l="0" t="0" r="r" b="b"/>
                          <a:pathLst>
                            <a:path w="284">
                              <a:moveTo>
                                <a:pt x="0" y="0"/>
                              </a:moveTo>
                              <a:lnTo>
                                <a:pt x="283" y="0"/>
                              </a:lnTo>
                            </a:path>
                          </a:pathLst>
                        </a:custGeom>
                        <a:noFill/>
                        <a:ln w="381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15566" id="docshape2" o:spid="_x0000_s1026" style="position:absolute;margin-left:48.2pt;margin-top:12pt;width:14.2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" path="m,l283,e" filled="f" strokecolor="#231f20" strokeweight="3pt">
                <v:path arrowok="t" o:connecttype="custom" o:connectlocs="0,0;179705,0" o:connectangles="0,0"/>
                <w10:wrap type="topAndBottom" anchorx="page"/>
              </v:shape>
            </w:pict>
          </mc:Fallback>
        </mc:AlternateContent>
      </w:r>
    </w:p>
    <w:p w:rsidR="0038355B" w:rsidRPr="0038355B" w:rsidRDefault="0038355B" w:rsidP="00A26D9F">
      <w:pPr>
        <w:rPr>
          <w:szCs w:val="20"/>
        </w:rPr>
      </w:pPr>
    </w:p>
    <w:p w:rsidR="0038355B" w:rsidRPr="0038355B" w:rsidRDefault="0038355B" w:rsidP="0038355B">
      <w:pPr>
        <w:jc w:val="both"/>
        <w:rPr>
          <w:szCs w:val="20"/>
        </w:rPr>
      </w:pPr>
      <w:r w:rsidRPr="0038355B">
        <w:rPr>
          <w:szCs w:val="20"/>
        </w:rPr>
        <w:t xml:space="preserve">Cette note a pour objet une présentation brève et synthétique </w:t>
      </w:r>
      <w:r w:rsidR="005A5150">
        <w:rPr>
          <w:szCs w:val="20"/>
        </w:rPr>
        <w:t>du budget primitif 202</w:t>
      </w:r>
      <w:r w:rsidR="00C034AF">
        <w:rPr>
          <w:szCs w:val="20"/>
        </w:rPr>
        <w:t>5</w:t>
      </w:r>
      <w:r w:rsidRPr="0038355B">
        <w:rPr>
          <w:szCs w:val="20"/>
        </w:rPr>
        <w:t xml:space="preserve"> de la ville, en retraçant les informations financières essentielles, afin de permettre aux citoyens d’en saisir les enjeux.</w:t>
      </w:r>
    </w:p>
    <w:p w:rsidR="0038355B" w:rsidRPr="0038355B" w:rsidRDefault="0038355B" w:rsidP="0038355B">
      <w:pPr>
        <w:jc w:val="both"/>
        <w:rPr>
          <w:szCs w:val="20"/>
        </w:rPr>
      </w:pPr>
    </w:p>
    <w:p w:rsidR="0038355B" w:rsidRPr="0038355B" w:rsidRDefault="0038355B" w:rsidP="0038355B">
      <w:pPr>
        <w:jc w:val="both"/>
        <w:rPr>
          <w:szCs w:val="20"/>
        </w:rPr>
      </w:pPr>
      <w:r w:rsidRPr="0038355B">
        <w:rPr>
          <w:szCs w:val="20"/>
        </w:rPr>
        <w:t>Le budget primitif retrace l’ensemble des dépenses et des recettes autorisées et prévues pour l’année 202</w:t>
      </w:r>
      <w:r w:rsidR="00C034AF">
        <w:rPr>
          <w:szCs w:val="20"/>
        </w:rPr>
        <w:t>5</w:t>
      </w:r>
      <w:r w:rsidRPr="0038355B">
        <w:rPr>
          <w:szCs w:val="20"/>
        </w:rPr>
        <w:t>.</w:t>
      </w:r>
    </w:p>
    <w:p w:rsidR="0038355B" w:rsidRPr="0038355B" w:rsidRDefault="0038355B" w:rsidP="0038355B">
      <w:pPr>
        <w:jc w:val="both"/>
        <w:rPr>
          <w:szCs w:val="20"/>
        </w:rPr>
      </w:pPr>
    </w:p>
    <w:p w:rsidR="0038355B" w:rsidRPr="0038355B" w:rsidRDefault="0038355B" w:rsidP="0038355B">
      <w:pPr>
        <w:jc w:val="both"/>
        <w:rPr>
          <w:szCs w:val="20"/>
        </w:rPr>
      </w:pPr>
      <w:r w:rsidRPr="0038355B">
        <w:rPr>
          <w:szCs w:val="20"/>
        </w:rPr>
        <w:t>Il respecte les principes budgétaires : annualité, universalité, unité, équilibre et antériorité. Le budget primitif constitue le premier acte obligatoire du cycle budgétaire annuel de la collectivité. Il doit être voté par l’assemblée délibérante avant le 15 avril de l’année à laquelle il se rapporte, et transmis au représentant de l’État dans les 15 jours qui suivent son approbation.</w:t>
      </w:r>
    </w:p>
    <w:p w:rsidR="0038355B" w:rsidRPr="0038355B" w:rsidRDefault="0038355B" w:rsidP="0038355B">
      <w:pPr>
        <w:jc w:val="both"/>
        <w:rPr>
          <w:szCs w:val="20"/>
        </w:rPr>
      </w:pPr>
    </w:p>
    <w:p w:rsidR="0038355B" w:rsidRPr="0038355B" w:rsidRDefault="0038355B" w:rsidP="0038355B">
      <w:pPr>
        <w:jc w:val="both"/>
        <w:rPr>
          <w:szCs w:val="20"/>
        </w:rPr>
      </w:pPr>
      <w:r w:rsidRPr="0038355B">
        <w:rPr>
          <w:szCs w:val="20"/>
        </w:rPr>
        <w:t>Par cet acte, Monsieur le Maire, ordonnateur, est autorisé à effectuer les opérations de recettes et de dépenses inscrites au budget, pour la période qui s’étend du 1</w:t>
      </w:r>
      <w:r w:rsidRPr="00975448">
        <w:rPr>
          <w:szCs w:val="20"/>
          <w:vertAlign w:val="superscript"/>
        </w:rPr>
        <w:t>er</w:t>
      </w:r>
      <w:r w:rsidR="00975448">
        <w:rPr>
          <w:szCs w:val="20"/>
        </w:rPr>
        <w:t xml:space="preserve"> </w:t>
      </w:r>
      <w:r w:rsidRPr="0038355B">
        <w:rPr>
          <w:szCs w:val="20"/>
        </w:rPr>
        <w:t>janvier au 31 décembre de l’année civile. Le budget 202</w:t>
      </w:r>
      <w:r w:rsidR="00C034AF">
        <w:rPr>
          <w:szCs w:val="20"/>
        </w:rPr>
        <w:t>5</w:t>
      </w:r>
      <w:r w:rsidRPr="0038355B">
        <w:rPr>
          <w:szCs w:val="20"/>
        </w:rPr>
        <w:t xml:space="preserve"> </w:t>
      </w:r>
      <w:r w:rsidR="00C034AF">
        <w:rPr>
          <w:szCs w:val="20"/>
        </w:rPr>
        <w:t>a été</w:t>
      </w:r>
      <w:r w:rsidR="002A0E69">
        <w:rPr>
          <w:szCs w:val="20"/>
        </w:rPr>
        <w:t xml:space="preserve"> </w:t>
      </w:r>
      <w:r w:rsidR="00975448">
        <w:rPr>
          <w:szCs w:val="20"/>
        </w:rPr>
        <w:t>approuvé par le</w:t>
      </w:r>
      <w:r w:rsidR="002A0E69">
        <w:rPr>
          <w:szCs w:val="20"/>
        </w:rPr>
        <w:t xml:space="preserve"> </w:t>
      </w:r>
      <w:r w:rsidR="00975448">
        <w:rPr>
          <w:szCs w:val="20"/>
        </w:rPr>
        <w:t>C</w:t>
      </w:r>
      <w:r w:rsidR="002A0E69">
        <w:rPr>
          <w:szCs w:val="20"/>
        </w:rPr>
        <w:t xml:space="preserve">onseil municipal </w:t>
      </w:r>
      <w:r w:rsidR="00975448">
        <w:rPr>
          <w:szCs w:val="20"/>
        </w:rPr>
        <w:t>du</w:t>
      </w:r>
      <w:r w:rsidR="002A0E69">
        <w:rPr>
          <w:szCs w:val="20"/>
        </w:rPr>
        <w:t xml:space="preserve"> </w:t>
      </w:r>
      <w:r w:rsidR="00C034AF">
        <w:rPr>
          <w:szCs w:val="20"/>
        </w:rPr>
        <w:t>27 mars 2025</w:t>
      </w:r>
      <w:r w:rsidR="002A0E69">
        <w:rPr>
          <w:szCs w:val="20"/>
        </w:rPr>
        <w:t xml:space="preserve">. </w:t>
      </w:r>
    </w:p>
    <w:p w:rsidR="0038355B" w:rsidRDefault="0038355B" w:rsidP="0038355B">
      <w:pPr>
        <w:jc w:val="both"/>
        <w:rPr>
          <w:szCs w:val="20"/>
        </w:rPr>
      </w:pPr>
    </w:p>
    <w:p w:rsidR="00DC2426" w:rsidRPr="00F3598A" w:rsidRDefault="00DC2426" w:rsidP="0038355B">
      <w:pPr>
        <w:jc w:val="both"/>
        <w:rPr>
          <w:szCs w:val="20"/>
        </w:rPr>
      </w:pPr>
    </w:p>
    <w:p w:rsidR="0038355B" w:rsidRPr="00B73E82" w:rsidRDefault="0038355B" w:rsidP="00B73E82">
      <w:pPr>
        <w:pStyle w:val="Titre1"/>
      </w:pPr>
      <w:r w:rsidRPr="00B73E82">
        <w:t>Le budget 202</w:t>
      </w:r>
      <w:r w:rsidR="00C034AF">
        <w:t>5</w:t>
      </w:r>
      <w:r w:rsidRPr="00B73E82">
        <w:t xml:space="preserve"> et son élaboration </w:t>
      </w:r>
      <w:r w:rsidR="00F3598A" w:rsidRPr="00B73E82">
        <w:t>sont</w:t>
      </w:r>
      <w:r w:rsidRPr="00B73E82">
        <w:t xml:space="preserve"> marqués par les éléments suivants : </w:t>
      </w:r>
    </w:p>
    <w:p w:rsidR="002C65B9" w:rsidRPr="00F3598A" w:rsidRDefault="002C65B9" w:rsidP="0038355B">
      <w:pPr>
        <w:jc w:val="both"/>
        <w:rPr>
          <w:szCs w:val="20"/>
        </w:rPr>
      </w:pPr>
    </w:p>
    <w:p w:rsidR="00435AEB" w:rsidRDefault="003D3D5F" w:rsidP="00EE0E20">
      <w:pPr>
        <w:pStyle w:val="Paragraphedeliste"/>
        <w:widowControl/>
        <w:numPr>
          <w:ilvl w:val="0"/>
          <w:numId w:val="9"/>
        </w:numPr>
        <w:autoSpaceDE/>
        <w:autoSpaceDN/>
        <w:spacing w:line="240" w:lineRule="auto"/>
        <w:jc w:val="both"/>
        <w:rPr>
          <w:szCs w:val="20"/>
        </w:rPr>
      </w:pPr>
      <w:r w:rsidRPr="00EE0E20">
        <w:rPr>
          <w:szCs w:val="20"/>
        </w:rPr>
        <w:t>Le contexte budgétaire et financier reste contraint. En effet, plusieurs éléments viennent alourdir les charges de la Ville. C’est le cas notamment de la mise en place par l’Etat du prélèvement « </w:t>
      </w:r>
      <w:proofErr w:type="spellStart"/>
      <w:r w:rsidRPr="00EE0E20">
        <w:rPr>
          <w:szCs w:val="20"/>
        </w:rPr>
        <w:t>Dilico</w:t>
      </w:r>
      <w:proofErr w:type="spellEnd"/>
      <w:r w:rsidRPr="00EE0E20">
        <w:rPr>
          <w:szCs w:val="20"/>
        </w:rPr>
        <w:t> » pour réduire le déficit public. C’est le cas aussi des prix qui restent élevés et de l’augmentation des cotisations employeurs. Malgré cela, les dépenses réelles de fonctionnement de la commune restent contenues.</w:t>
      </w:r>
    </w:p>
    <w:p w:rsidR="00EE0E20" w:rsidRDefault="00EE0E20" w:rsidP="00EE0E20">
      <w:pPr>
        <w:pStyle w:val="Paragraphedeliste"/>
        <w:widowControl/>
        <w:autoSpaceDE/>
        <w:autoSpaceDN/>
        <w:spacing w:line="240" w:lineRule="auto"/>
        <w:ind w:left="720"/>
        <w:jc w:val="both"/>
        <w:rPr>
          <w:szCs w:val="20"/>
        </w:rPr>
      </w:pPr>
    </w:p>
    <w:p w:rsidR="003D3D5F" w:rsidRPr="00CF5F36" w:rsidRDefault="003D3D5F" w:rsidP="00EE0E20">
      <w:pPr>
        <w:pStyle w:val="Paragraphedeliste"/>
        <w:widowControl/>
        <w:numPr>
          <w:ilvl w:val="0"/>
          <w:numId w:val="9"/>
        </w:numPr>
        <w:autoSpaceDE/>
        <w:autoSpaceDN/>
        <w:spacing w:line="240" w:lineRule="auto"/>
        <w:jc w:val="both"/>
        <w:rPr>
          <w:szCs w:val="20"/>
        </w:rPr>
      </w:pPr>
      <w:r w:rsidRPr="00CF5F36">
        <w:rPr>
          <w:szCs w:val="20"/>
        </w:rPr>
        <w:t>Les re</w:t>
      </w:r>
      <w:r>
        <w:rPr>
          <w:szCs w:val="20"/>
        </w:rPr>
        <w:t xml:space="preserve">cettes de fonctionnement de la </w:t>
      </w:r>
      <w:r w:rsidR="00975448">
        <w:rPr>
          <w:szCs w:val="20"/>
        </w:rPr>
        <w:t>V</w:t>
      </w:r>
      <w:r>
        <w:rPr>
          <w:szCs w:val="20"/>
        </w:rPr>
        <w:t>ille</w:t>
      </w:r>
      <w:r w:rsidRPr="00CF5F36">
        <w:rPr>
          <w:szCs w:val="20"/>
        </w:rPr>
        <w:t xml:space="preserve"> progressent moins vite que les dépenses. </w:t>
      </w:r>
    </w:p>
    <w:p w:rsidR="00435AEB" w:rsidRDefault="003D3D5F" w:rsidP="00EE0E20">
      <w:pPr>
        <w:pStyle w:val="Paragraphedeliste"/>
        <w:widowControl/>
        <w:autoSpaceDE/>
        <w:autoSpaceDN/>
        <w:spacing w:line="240" w:lineRule="auto"/>
        <w:ind w:left="720"/>
        <w:jc w:val="both"/>
        <w:rPr>
          <w:szCs w:val="20"/>
        </w:rPr>
      </w:pPr>
      <w:r w:rsidRPr="00CF5F36">
        <w:rPr>
          <w:szCs w:val="20"/>
        </w:rPr>
        <w:t>Ce phénomène concerne toutes le</w:t>
      </w:r>
      <w:r>
        <w:rPr>
          <w:szCs w:val="20"/>
        </w:rPr>
        <w:t xml:space="preserve">s catégories de collectivités. </w:t>
      </w:r>
      <w:r w:rsidRPr="00CF5F36">
        <w:rPr>
          <w:szCs w:val="20"/>
        </w:rPr>
        <w:t xml:space="preserve">A titre d’exemple, en 2024, le rythme d’évolution des dépenses de l’ensemble des collectivités </w:t>
      </w:r>
      <w:r w:rsidR="00975448">
        <w:rPr>
          <w:szCs w:val="20"/>
        </w:rPr>
        <w:t xml:space="preserve">en France </w:t>
      </w:r>
      <w:r w:rsidRPr="00CF5F36">
        <w:rPr>
          <w:szCs w:val="20"/>
        </w:rPr>
        <w:t xml:space="preserve">est </w:t>
      </w:r>
      <w:r>
        <w:rPr>
          <w:szCs w:val="20"/>
        </w:rPr>
        <w:t>deux</w:t>
      </w:r>
      <w:r w:rsidRPr="00CF5F36">
        <w:rPr>
          <w:szCs w:val="20"/>
        </w:rPr>
        <w:t xml:space="preserve"> fois plus rapide que celle des recettes (+ 4,8 % contre + 2,4 %).</w:t>
      </w:r>
    </w:p>
    <w:p w:rsidR="00DC2426" w:rsidRDefault="00DC2426" w:rsidP="00435AEB">
      <w:pPr>
        <w:widowControl/>
        <w:autoSpaceDE/>
        <w:autoSpaceDN/>
        <w:spacing w:line="240" w:lineRule="auto"/>
        <w:ind w:left="720"/>
        <w:jc w:val="both"/>
        <w:rPr>
          <w:szCs w:val="20"/>
        </w:rPr>
      </w:pPr>
    </w:p>
    <w:p w:rsidR="00104945" w:rsidRPr="00DC2426" w:rsidRDefault="003D3D5F" w:rsidP="00906DF4">
      <w:pPr>
        <w:pStyle w:val="Paragraphedeliste"/>
        <w:widowControl/>
        <w:numPr>
          <w:ilvl w:val="0"/>
          <w:numId w:val="9"/>
        </w:numPr>
        <w:autoSpaceDE/>
        <w:autoSpaceDN/>
        <w:spacing w:line="240" w:lineRule="auto"/>
        <w:jc w:val="both"/>
        <w:rPr>
          <w:rFonts w:asciiTheme="minorHAnsi" w:hAnsiTheme="minorHAnsi" w:cstheme="minorHAnsi"/>
          <w:sz w:val="22"/>
        </w:rPr>
      </w:pPr>
      <w:r w:rsidRPr="00CF7F30">
        <w:rPr>
          <w:szCs w:val="20"/>
        </w:rPr>
        <w:t>Comme la municipalité s’y est engagée, les taux des taxes locales seront stables en 2025.</w:t>
      </w:r>
    </w:p>
    <w:p w:rsidR="00DC2426" w:rsidRPr="00C7210C" w:rsidRDefault="00DC2426" w:rsidP="00DC2426">
      <w:pPr>
        <w:pStyle w:val="Paragraphedeliste"/>
        <w:widowControl/>
        <w:autoSpaceDE/>
        <w:autoSpaceDN/>
        <w:spacing w:line="240" w:lineRule="auto"/>
        <w:ind w:left="720"/>
        <w:jc w:val="both"/>
        <w:rPr>
          <w:rFonts w:asciiTheme="minorHAnsi" w:hAnsiTheme="minorHAnsi" w:cstheme="minorHAnsi"/>
          <w:sz w:val="22"/>
        </w:rPr>
      </w:pPr>
    </w:p>
    <w:p w:rsidR="00B07188" w:rsidRPr="00EE0E20" w:rsidRDefault="005610C8" w:rsidP="00681CDD">
      <w:pPr>
        <w:widowControl/>
        <w:numPr>
          <w:ilvl w:val="0"/>
          <w:numId w:val="9"/>
        </w:numPr>
        <w:autoSpaceDE/>
        <w:autoSpaceDN/>
        <w:spacing w:line="240" w:lineRule="auto"/>
        <w:jc w:val="both"/>
        <w:rPr>
          <w:szCs w:val="20"/>
        </w:rPr>
      </w:pPr>
      <w:r w:rsidRPr="00EE0E20">
        <w:rPr>
          <w:szCs w:val="20"/>
        </w:rPr>
        <w:t xml:space="preserve">Une partie des tarifs </w:t>
      </w:r>
      <w:r w:rsidR="0038355B" w:rsidRPr="00EE0E20">
        <w:rPr>
          <w:szCs w:val="20"/>
        </w:rPr>
        <w:t>municipaux (restauration</w:t>
      </w:r>
      <w:r w:rsidRPr="00EE0E20">
        <w:rPr>
          <w:szCs w:val="20"/>
        </w:rPr>
        <w:t xml:space="preserve"> et portage de repas, </w:t>
      </w:r>
      <w:r w:rsidR="00B07188" w:rsidRPr="00EE0E20">
        <w:rPr>
          <w:szCs w:val="20"/>
        </w:rPr>
        <w:t xml:space="preserve">accueils de loisirs et périscolaire, séjours et stages sportifs, droits de place du marché forain et neutralisation des places de stationnement) </w:t>
      </w:r>
      <w:r w:rsidR="0038355B" w:rsidRPr="00EE0E20">
        <w:rPr>
          <w:szCs w:val="20"/>
        </w:rPr>
        <w:t>n</w:t>
      </w:r>
      <w:r w:rsidR="00B07188" w:rsidRPr="00EE0E20">
        <w:rPr>
          <w:szCs w:val="20"/>
        </w:rPr>
        <w:t>’augmente</w:t>
      </w:r>
      <w:r w:rsidR="0038355B" w:rsidRPr="00EE0E20">
        <w:rPr>
          <w:szCs w:val="20"/>
        </w:rPr>
        <w:t xml:space="preserve"> pas</w:t>
      </w:r>
      <w:r w:rsidR="007E14CE" w:rsidRPr="00EE0E20">
        <w:rPr>
          <w:szCs w:val="20"/>
        </w:rPr>
        <w:t>,</w:t>
      </w:r>
      <w:r w:rsidR="0038355B" w:rsidRPr="00EE0E20">
        <w:rPr>
          <w:szCs w:val="20"/>
        </w:rPr>
        <w:t xml:space="preserve"> afin de </w:t>
      </w:r>
      <w:r w:rsidR="00DD5C00" w:rsidRPr="00EE0E20">
        <w:rPr>
          <w:szCs w:val="20"/>
        </w:rPr>
        <w:t xml:space="preserve">protéger et soutenir les Kremlinois compte tenu de l’inflation qui demeure élevée. </w:t>
      </w:r>
      <w:r w:rsidR="0038355B" w:rsidRPr="00EE0E20">
        <w:rPr>
          <w:szCs w:val="20"/>
        </w:rPr>
        <w:t xml:space="preserve">Seuls les autres tarifs sont revalorisés </w:t>
      </w:r>
      <w:r w:rsidR="00B07188" w:rsidRPr="00EE0E20">
        <w:rPr>
          <w:szCs w:val="20"/>
        </w:rPr>
        <w:t xml:space="preserve">de + </w:t>
      </w:r>
      <w:r w:rsidR="00EE0E20" w:rsidRPr="00EE0E20">
        <w:rPr>
          <w:szCs w:val="20"/>
        </w:rPr>
        <w:t>2</w:t>
      </w:r>
      <w:r w:rsidR="00B07188" w:rsidRPr="00EE0E20">
        <w:rPr>
          <w:szCs w:val="20"/>
        </w:rPr>
        <w:t xml:space="preserve"> %. </w:t>
      </w:r>
    </w:p>
    <w:p w:rsidR="00DC2426" w:rsidRDefault="00DC2426" w:rsidP="00DC2426">
      <w:pPr>
        <w:pStyle w:val="Paragraphedeliste"/>
        <w:rPr>
          <w:szCs w:val="20"/>
        </w:rPr>
      </w:pPr>
    </w:p>
    <w:p w:rsidR="0038355B" w:rsidRPr="00EE0E20" w:rsidRDefault="0038355B" w:rsidP="0038355B">
      <w:pPr>
        <w:widowControl/>
        <w:numPr>
          <w:ilvl w:val="0"/>
          <w:numId w:val="9"/>
        </w:numPr>
        <w:autoSpaceDE/>
        <w:autoSpaceDN/>
        <w:spacing w:line="240" w:lineRule="auto"/>
        <w:jc w:val="both"/>
        <w:rPr>
          <w:szCs w:val="20"/>
        </w:rPr>
      </w:pPr>
      <w:r w:rsidRPr="00EE0E20">
        <w:rPr>
          <w:szCs w:val="20"/>
        </w:rPr>
        <w:t xml:space="preserve">Il est prévu une </w:t>
      </w:r>
      <w:r w:rsidR="00EE0E20" w:rsidRPr="00EE0E20">
        <w:rPr>
          <w:szCs w:val="20"/>
        </w:rPr>
        <w:t>baisse</w:t>
      </w:r>
      <w:r w:rsidRPr="00EE0E20">
        <w:rPr>
          <w:szCs w:val="20"/>
        </w:rPr>
        <w:t xml:space="preserve"> de la dotation globale de fonctionnement versée par l’Etat</w:t>
      </w:r>
      <w:r w:rsidR="00EE0E20" w:rsidRPr="00EE0E20">
        <w:rPr>
          <w:szCs w:val="20"/>
        </w:rPr>
        <w:t>, suite à l’application de l’écrêtement</w:t>
      </w:r>
      <w:r w:rsidR="00DC2426" w:rsidRPr="00EE0E20">
        <w:rPr>
          <w:szCs w:val="20"/>
        </w:rPr>
        <w:t>.</w:t>
      </w:r>
    </w:p>
    <w:p w:rsidR="00DC2426" w:rsidRDefault="00DC2426" w:rsidP="00DC2426">
      <w:pPr>
        <w:pStyle w:val="Paragraphedeliste"/>
        <w:rPr>
          <w:szCs w:val="20"/>
        </w:rPr>
      </w:pPr>
    </w:p>
    <w:p w:rsidR="0038355B" w:rsidRPr="00E251ED" w:rsidRDefault="00EE0E20" w:rsidP="00773384">
      <w:pPr>
        <w:widowControl/>
        <w:numPr>
          <w:ilvl w:val="0"/>
          <w:numId w:val="9"/>
        </w:numPr>
        <w:autoSpaceDE/>
        <w:autoSpaceDN/>
        <w:spacing w:line="240" w:lineRule="auto"/>
        <w:jc w:val="both"/>
        <w:rPr>
          <w:szCs w:val="20"/>
        </w:rPr>
      </w:pPr>
      <w:r w:rsidRPr="00E251ED">
        <w:rPr>
          <w:szCs w:val="20"/>
        </w:rPr>
        <w:t>I</w:t>
      </w:r>
      <w:r w:rsidR="00F70C29" w:rsidRPr="00E251ED">
        <w:rPr>
          <w:szCs w:val="20"/>
        </w:rPr>
        <w:t>l est prévu un emprunt de 4 500 000 € en 202</w:t>
      </w:r>
      <w:r w:rsidRPr="00E251ED">
        <w:rPr>
          <w:szCs w:val="20"/>
        </w:rPr>
        <w:t>5</w:t>
      </w:r>
      <w:r w:rsidR="00F70C29" w:rsidRPr="00E251ED">
        <w:rPr>
          <w:szCs w:val="20"/>
        </w:rPr>
        <w:t>. Ainsi, la moyenne du montant emprunté annuellement sur la période 2020 / 202</w:t>
      </w:r>
      <w:r w:rsidR="00E251ED" w:rsidRPr="00E251ED">
        <w:rPr>
          <w:szCs w:val="20"/>
        </w:rPr>
        <w:t>5</w:t>
      </w:r>
      <w:r w:rsidR="00F70C29" w:rsidRPr="00E251ED">
        <w:rPr>
          <w:szCs w:val="20"/>
        </w:rPr>
        <w:t xml:space="preserve"> est de</w:t>
      </w:r>
      <w:r w:rsidR="00E251ED" w:rsidRPr="00E251ED">
        <w:rPr>
          <w:szCs w:val="20"/>
        </w:rPr>
        <w:t xml:space="preserve"> </w:t>
      </w:r>
      <w:r w:rsidR="00F70C29" w:rsidRPr="00E251ED">
        <w:rPr>
          <w:szCs w:val="20"/>
        </w:rPr>
        <w:t>3 </w:t>
      </w:r>
      <w:r w:rsidR="00E251ED" w:rsidRPr="00E251ED">
        <w:rPr>
          <w:szCs w:val="20"/>
        </w:rPr>
        <w:t>131 667</w:t>
      </w:r>
      <w:r w:rsidR="00F70C29" w:rsidRPr="00E251ED">
        <w:rPr>
          <w:szCs w:val="20"/>
        </w:rPr>
        <w:t xml:space="preserve"> €. </w:t>
      </w:r>
      <w:r w:rsidR="0038355B" w:rsidRPr="00E251ED">
        <w:rPr>
          <w:szCs w:val="20"/>
        </w:rPr>
        <w:t xml:space="preserve">Les frais financiers sont </w:t>
      </w:r>
      <w:r w:rsidR="00E251ED" w:rsidRPr="00E251ED">
        <w:rPr>
          <w:szCs w:val="20"/>
        </w:rPr>
        <w:t>stables</w:t>
      </w:r>
      <w:r w:rsidR="0038355B" w:rsidRPr="00E251ED">
        <w:rPr>
          <w:szCs w:val="20"/>
        </w:rPr>
        <w:t xml:space="preserve"> par rapport au budget 202</w:t>
      </w:r>
      <w:r w:rsidR="00E251ED" w:rsidRPr="00E251ED">
        <w:rPr>
          <w:szCs w:val="20"/>
        </w:rPr>
        <w:t>4</w:t>
      </w:r>
      <w:r w:rsidR="0038355B" w:rsidRPr="00E251ED">
        <w:rPr>
          <w:szCs w:val="20"/>
        </w:rPr>
        <w:t xml:space="preserve">, du fait </w:t>
      </w:r>
      <w:r w:rsidR="00E251ED" w:rsidRPr="00E251ED">
        <w:rPr>
          <w:szCs w:val="20"/>
        </w:rPr>
        <w:t>de la stabilisation</w:t>
      </w:r>
      <w:r w:rsidR="0038355B" w:rsidRPr="00E251ED">
        <w:rPr>
          <w:szCs w:val="20"/>
        </w:rPr>
        <w:t xml:space="preserve"> des taux d’intérêt.</w:t>
      </w:r>
    </w:p>
    <w:p w:rsidR="00DC2426" w:rsidRPr="003D3D5F" w:rsidRDefault="00DC2426" w:rsidP="00DC2426">
      <w:pPr>
        <w:pStyle w:val="Paragraphedeliste"/>
        <w:rPr>
          <w:szCs w:val="20"/>
          <w:highlight w:val="yellow"/>
        </w:rPr>
      </w:pPr>
    </w:p>
    <w:p w:rsidR="00F007FF" w:rsidRPr="00E251ED" w:rsidRDefault="00F007FF" w:rsidP="0038355B">
      <w:pPr>
        <w:widowControl/>
        <w:numPr>
          <w:ilvl w:val="0"/>
          <w:numId w:val="9"/>
        </w:numPr>
        <w:autoSpaceDE/>
        <w:autoSpaceDN/>
        <w:spacing w:line="240" w:lineRule="auto"/>
        <w:jc w:val="both"/>
        <w:rPr>
          <w:szCs w:val="20"/>
        </w:rPr>
      </w:pPr>
      <w:r w:rsidRPr="00E251ED">
        <w:rPr>
          <w:szCs w:val="20"/>
        </w:rPr>
        <w:t xml:space="preserve">L’objectif de la municipalité </w:t>
      </w:r>
      <w:r w:rsidR="00975448">
        <w:rPr>
          <w:szCs w:val="20"/>
        </w:rPr>
        <w:t>reste</w:t>
      </w:r>
      <w:r w:rsidRPr="00E251ED">
        <w:rPr>
          <w:szCs w:val="20"/>
        </w:rPr>
        <w:t xml:space="preserve"> de rechercher le taux de subvention le plus élevé possible.</w:t>
      </w:r>
    </w:p>
    <w:p w:rsidR="00DC2426" w:rsidRDefault="00DC2426" w:rsidP="00DC2426">
      <w:pPr>
        <w:pStyle w:val="Paragraphedeliste"/>
        <w:rPr>
          <w:szCs w:val="20"/>
        </w:rPr>
      </w:pPr>
    </w:p>
    <w:p w:rsidR="00E251ED" w:rsidRDefault="003D3D5F" w:rsidP="009B368A">
      <w:pPr>
        <w:widowControl/>
        <w:numPr>
          <w:ilvl w:val="0"/>
          <w:numId w:val="9"/>
        </w:numPr>
        <w:autoSpaceDE/>
        <w:autoSpaceDN/>
        <w:spacing w:line="240" w:lineRule="auto"/>
        <w:jc w:val="both"/>
        <w:rPr>
          <w:szCs w:val="20"/>
        </w:rPr>
      </w:pPr>
      <w:r w:rsidRPr="00CF7F30">
        <w:rPr>
          <w:szCs w:val="20"/>
        </w:rPr>
        <w:t xml:space="preserve">Dans le cadre de ce budget prévisionnel, la municipalité poursuit ses actions visant à accompagner et rassembler, avec pour objectif une ville toujours plus solidaire et tournée vers la transition écologique. </w:t>
      </w:r>
      <w:r w:rsidR="00825613">
        <w:rPr>
          <w:szCs w:val="20"/>
        </w:rPr>
        <w:t xml:space="preserve">La municipalité </w:t>
      </w:r>
      <w:r w:rsidR="00975448">
        <w:rPr>
          <w:szCs w:val="20"/>
        </w:rPr>
        <w:t>agit pour</w:t>
      </w:r>
      <w:r w:rsidR="00825613">
        <w:rPr>
          <w:szCs w:val="20"/>
        </w:rPr>
        <w:t xml:space="preserve"> maintenir </w:t>
      </w:r>
      <w:r w:rsidR="00E251ED">
        <w:rPr>
          <w:szCs w:val="20"/>
        </w:rPr>
        <w:t xml:space="preserve">un service public de qualité, et </w:t>
      </w:r>
      <w:r w:rsidR="00825613">
        <w:rPr>
          <w:szCs w:val="20"/>
        </w:rPr>
        <w:t>met</w:t>
      </w:r>
      <w:r w:rsidR="00E251ED">
        <w:rPr>
          <w:szCs w:val="20"/>
        </w:rPr>
        <w:t xml:space="preserve"> en place de nouveaux dispositifs (création d’un tiers-lieu, déploiement du plan de sécurité </w:t>
      </w:r>
      <w:r w:rsidR="00975448">
        <w:rPr>
          <w:szCs w:val="20"/>
        </w:rPr>
        <w:t xml:space="preserve">sociale </w:t>
      </w:r>
      <w:r w:rsidR="00E251ED">
        <w:rPr>
          <w:szCs w:val="20"/>
        </w:rPr>
        <w:t xml:space="preserve">alimentaire…). </w:t>
      </w:r>
    </w:p>
    <w:p w:rsidR="00B37B97" w:rsidRPr="00176775" w:rsidRDefault="00E251ED" w:rsidP="00E251ED">
      <w:pPr>
        <w:widowControl/>
        <w:autoSpaceDE/>
        <w:autoSpaceDN/>
        <w:spacing w:line="240" w:lineRule="auto"/>
        <w:ind w:left="720"/>
        <w:jc w:val="both"/>
        <w:rPr>
          <w:szCs w:val="20"/>
        </w:rPr>
      </w:pPr>
      <w:r>
        <w:rPr>
          <w:szCs w:val="20"/>
        </w:rPr>
        <w:t>La municipalité</w:t>
      </w:r>
      <w:r w:rsidR="003D3D5F" w:rsidRPr="00CF7F30">
        <w:rPr>
          <w:szCs w:val="20"/>
        </w:rPr>
        <w:t xml:space="preserve"> poursuit également la réalisation de son programme d’investissement</w:t>
      </w:r>
      <w:r w:rsidR="003D3D5F" w:rsidRPr="00CF7F30">
        <w:rPr>
          <w:i/>
          <w:szCs w:val="20"/>
        </w:rPr>
        <w:t xml:space="preserve"> </w:t>
      </w:r>
      <w:r w:rsidR="003D3D5F" w:rsidRPr="00CF7F30">
        <w:rPr>
          <w:szCs w:val="20"/>
        </w:rPr>
        <w:t>ambitieux, afin de répondre au mieux aux enjeu</w:t>
      </w:r>
      <w:r w:rsidR="003D3D5F">
        <w:rPr>
          <w:szCs w:val="20"/>
        </w:rPr>
        <w:t>x de demain et aux besoins des K</w:t>
      </w:r>
      <w:r w:rsidR="003D3D5F" w:rsidRPr="00CF7F30">
        <w:rPr>
          <w:szCs w:val="20"/>
        </w:rPr>
        <w:t>remlinois.</w:t>
      </w:r>
      <w:r w:rsidR="005F2970">
        <w:rPr>
          <w:szCs w:val="20"/>
        </w:rPr>
        <w:t xml:space="preserve"> Une p</w:t>
      </w:r>
      <w:r>
        <w:rPr>
          <w:szCs w:val="20"/>
        </w:rPr>
        <w:t xml:space="preserve">riorité </w:t>
      </w:r>
      <w:r w:rsidR="005F2970">
        <w:rPr>
          <w:szCs w:val="20"/>
        </w:rPr>
        <w:t xml:space="preserve">est donnée </w:t>
      </w:r>
      <w:r>
        <w:rPr>
          <w:szCs w:val="20"/>
        </w:rPr>
        <w:t>aux investissements dans le domaine de l’éducation</w:t>
      </w:r>
      <w:r w:rsidR="005F2970">
        <w:rPr>
          <w:szCs w:val="20"/>
        </w:rPr>
        <w:t>. Sont aussi prévus le réaménagement d’</w:t>
      </w:r>
      <w:r>
        <w:rPr>
          <w:szCs w:val="20"/>
        </w:rPr>
        <w:t xml:space="preserve">espaces verts de la ville, </w:t>
      </w:r>
      <w:r w:rsidR="005F2970">
        <w:rPr>
          <w:szCs w:val="20"/>
        </w:rPr>
        <w:t xml:space="preserve">et la </w:t>
      </w:r>
      <w:r w:rsidRPr="001C0DD5">
        <w:rPr>
          <w:szCs w:val="20"/>
        </w:rPr>
        <w:t>rénovation complète du terrain de fo</w:t>
      </w:r>
      <w:r>
        <w:rPr>
          <w:szCs w:val="20"/>
        </w:rPr>
        <w:t xml:space="preserve">otball du stade des </w:t>
      </w:r>
      <w:proofErr w:type="spellStart"/>
      <w:r>
        <w:rPr>
          <w:szCs w:val="20"/>
        </w:rPr>
        <w:t>Esselières</w:t>
      </w:r>
      <w:proofErr w:type="spellEnd"/>
      <w:r w:rsidR="005F2970">
        <w:rPr>
          <w:szCs w:val="20"/>
        </w:rPr>
        <w:t>.</w:t>
      </w:r>
    </w:p>
    <w:p w:rsidR="00E251ED" w:rsidRDefault="00E251ED" w:rsidP="00DC2426">
      <w:pPr>
        <w:pStyle w:val="Paragraphedeliste"/>
        <w:rPr>
          <w:szCs w:val="20"/>
        </w:rPr>
      </w:pPr>
    </w:p>
    <w:p w:rsidR="00B37B97" w:rsidRDefault="00EE0E20" w:rsidP="0038355B">
      <w:pPr>
        <w:widowControl/>
        <w:numPr>
          <w:ilvl w:val="0"/>
          <w:numId w:val="9"/>
        </w:numPr>
        <w:autoSpaceDE/>
        <w:autoSpaceDN/>
        <w:spacing w:line="240" w:lineRule="auto"/>
        <w:jc w:val="both"/>
        <w:rPr>
          <w:szCs w:val="20"/>
        </w:rPr>
      </w:pPr>
      <w:r w:rsidRPr="00EA0805">
        <w:rPr>
          <w:szCs w:val="20"/>
        </w:rPr>
        <w:t xml:space="preserve">Il convient par ailleurs de préciser que cette année, les résultats de l’année antérieure </w:t>
      </w:r>
      <w:r w:rsidR="00975448">
        <w:rPr>
          <w:szCs w:val="20"/>
        </w:rPr>
        <w:t>sont</w:t>
      </w:r>
      <w:r w:rsidRPr="00EA0805">
        <w:rPr>
          <w:szCs w:val="20"/>
        </w:rPr>
        <w:t xml:space="preserve"> repris dès le </w:t>
      </w:r>
      <w:r>
        <w:rPr>
          <w:szCs w:val="20"/>
        </w:rPr>
        <w:t>b</w:t>
      </w:r>
      <w:r w:rsidRPr="00EA0805">
        <w:rPr>
          <w:szCs w:val="20"/>
        </w:rPr>
        <w:t>udget primitif</w:t>
      </w:r>
      <w:r>
        <w:rPr>
          <w:szCs w:val="20"/>
        </w:rPr>
        <w:t xml:space="preserve"> 2025. Il n’y aura donc pas de b</w:t>
      </w:r>
      <w:r w:rsidRPr="00EA0805">
        <w:rPr>
          <w:szCs w:val="20"/>
        </w:rPr>
        <w:t>udget suppl</w:t>
      </w:r>
      <w:r>
        <w:rPr>
          <w:szCs w:val="20"/>
        </w:rPr>
        <w:t>émentaire au moment du vote du c</w:t>
      </w:r>
      <w:r w:rsidRPr="00EA0805">
        <w:rPr>
          <w:szCs w:val="20"/>
        </w:rPr>
        <w:t>ompte-administratif</w:t>
      </w:r>
      <w:r>
        <w:rPr>
          <w:szCs w:val="20"/>
        </w:rPr>
        <w:t xml:space="preserve"> 2024</w:t>
      </w:r>
      <w:r w:rsidRPr="00EA0805">
        <w:rPr>
          <w:szCs w:val="20"/>
        </w:rPr>
        <w:t>.</w:t>
      </w:r>
    </w:p>
    <w:p w:rsidR="00822CD0" w:rsidRPr="00F007FF" w:rsidRDefault="00822CD0" w:rsidP="00822CD0">
      <w:pPr>
        <w:widowControl/>
        <w:autoSpaceDE/>
        <w:autoSpaceDN/>
        <w:spacing w:line="240" w:lineRule="auto"/>
        <w:ind w:left="720"/>
        <w:jc w:val="both"/>
        <w:rPr>
          <w:szCs w:val="20"/>
        </w:rPr>
      </w:pPr>
      <w:r>
        <w:rPr>
          <w:szCs w:val="20"/>
        </w:rPr>
        <w:t>Ainsi, apparaissent au budget primitif 2025 : la reprise des résultats antérieurs et les restes à réaliser (en dépenses et en recettes).</w:t>
      </w:r>
    </w:p>
    <w:p w:rsidR="0038355B" w:rsidRPr="00DC2426" w:rsidRDefault="0038355B" w:rsidP="0038355B">
      <w:pPr>
        <w:jc w:val="both"/>
        <w:rPr>
          <w:szCs w:val="20"/>
        </w:rPr>
      </w:pPr>
    </w:p>
    <w:p w:rsidR="0038355B" w:rsidRPr="00DC2426" w:rsidRDefault="0038355B" w:rsidP="0038355B">
      <w:pPr>
        <w:jc w:val="both"/>
        <w:rPr>
          <w:szCs w:val="20"/>
        </w:rPr>
      </w:pPr>
    </w:p>
    <w:p w:rsidR="0038355B" w:rsidRPr="0085433B" w:rsidRDefault="0038355B" w:rsidP="00B73E82">
      <w:pPr>
        <w:pStyle w:val="Titre1"/>
      </w:pPr>
      <w:r w:rsidRPr="0085433B">
        <w:t>Structure du budget :</w:t>
      </w:r>
    </w:p>
    <w:p w:rsidR="0038355B" w:rsidRPr="00DC2426" w:rsidRDefault="0038355B" w:rsidP="0038355B">
      <w:pPr>
        <w:jc w:val="both"/>
        <w:rPr>
          <w:szCs w:val="20"/>
        </w:rPr>
      </w:pPr>
    </w:p>
    <w:p w:rsidR="0038355B" w:rsidRPr="00DC2426" w:rsidRDefault="0038355B" w:rsidP="0038355B">
      <w:pPr>
        <w:jc w:val="both"/>
        <w:rPr>
          <w:szCs w:val="20"/>
        </w:rPr>
      </w:pPr>
      <w:r w:rsidRPr="00DC2426">
        <w:rPr>
          <w:szCs w:val="20"/>
        </w:rPr>
        <w:t>Les sections de fonctionnement et d’investissement structurent le budget de la collectivité :</w:t>
      </w:r>
    </w:p>
    <w:p w:rsidR="0038355B" w:rsidRPr="00EC5A72" w:rsidRDefault="0038355B" w:rsidP="0038355B">
      <w:pPr>
        <w:jc w:val="both"/>
        <w:rPr>
          <w:szCs w:val="20"/>
        </w:rPr>
      </w:pPr>
    </w:p>
    <w:p w:rsidR="0038355B" w:rsidRPr="00EC5A72" w:rsidRDefault="0038355B" w:rsidP="0038355B">
      <w:pPr>
        <w:widowControl/>
        <w:numPr>
          <w:ilvl w:val="0"/>
          <w:numId w:val="9"/>
        </w:numPr>
        <w:autoSpaceDE/>
        <w:autoSpaceDN/>
        <w:spacing w:line="240" w:lineRule="auto"/>
        <w:jc w:val="both"/>
        <w:rPr>
          <w:i/>
          <w:szCs w:val="20"/>
          <w:u w:val="single"/>
        </w:rPr>
      </w:pPr>
      <w:r w:rsidRPr="00EC5A72">
        <w:rPr>
          <w:i/>
          <w:szCs w:val="20"/>
          <w:u w:val="single"/>
        </w:rPr>
        <w:t>1. La section de fonctionnement (gestion des affaires courantes) :</w:t>
      </w:r>
    </w:p>
    <w:p w:rsidR="0038355B" w:rsidRPr="007E14CE" w:rsidRDefault="0038355B" w:rsidP="0038355B">
      <w:pPr>
        <w:jc w:val="both"/>
        <w:rPr>
          <w:szCs w:val="20"/>
        </w:rPr>
      </w:pPr>
    </w:p>
    <w:p w:rsidR="0038355B" w:rsidRPr="007E14CE" w:rsidRDefault="0038355B" w:rsidP="0038355B">
      <w:pPr>
        <w:jc w:val="both"/>
        <w:rPr>
          <w:szCs w:val="20"/>
        </w:rPr>
      </w:pPr>
      <w:r w:rsidRPr="007E14CE">
        <w:rPr>
          <w:szCs w:val="20"/>
        </w:rPr>
        <w:t>Le budget de fonctionnement permet à la collectivité d’assurer le quotidien. La section de fonctionnement regroupe l'ensemble des dépenses et des recettes nécessaires au fonctionnement courant et récurrent des services communaux.</w:t>
      </w:r>
    </w:p>
    <w:p w:rsidR="0038355B" w:rsidRPr="007E14CE" w:rsidRDefault="0038355B" w:rsidP="0038355B">
      <w:pPr>
        <w:jc w:val="both"/>
        <w:rPr>
          <w:szCs w:val="20"/>
        </w:rPr>
      </w:pPr>
    </w:p>
    <w:p w:rsidR="0038355B" w:rsidRPr="007E14CE" w:rsidRDefault="0038355B" w:rsidP="0038355B">
      <w:pPr>
        <w:jc w:val="both"/>
        <w:rPr>
          <w:szCs w:val="20"/>
        </w:rPr>
      </w:pPr>
      <w:r w:rsidRPr="007E14CE">
        <w:rPr>
          <w:szCs w:val="20"/>
        </w:rPr>
        <w:t xml:space="preserve">Les dépenses de fonctionnement sont constituées des éléments suivants : </w:t>
      </w:r>
      <w:r w:rsidR="00B02FCE">
        <w:rPr>
          <w:szCs w:val="20"/>
        </w:rPr>
        <w:t>la rémunération</w:t>
      </w:r>
      <w:r w:rsidRPr="007E14CE">
        <w:rPr>
          <w:szCs w:val="20"/>
        </w:rPr>
        <w:t xml:space="preserve"> du personnel municipal, l'entretien et les fluides des bâtiments communaux, les achats de matières premières et de fournitures, les prestations de services effectuées, les subventions versées aux associations et les intérêts des emprunts à payer.</w:t>
      </w:r>
    </w:p>
    <w:p w:rsidR="006067B3" w:rsidRPr="007E14CE" w:rsidRDefault="006067B3" w:rsidP="006067B3">
      <w:pPr>
        <w:spacing w:line="240" w:lineRule="auto"/>
        <w:jc w:val="both"/>
        <w:rPr>
          <w:szCs w:val="20"/>
        </w:rPr>
      </w:pPr>
    </w:p>
    <w:p w:rsidR="000007F0" w:rsidRPr="007E14CE" w:rsidRDefault="000007F0" w:rsidP="00941A1D">
      <w:pPr>
        <w:spacing w:line="240" w:lineRule="auto"/>
        <w:jc w:val="center"/>
        <w:rPr>
          <w:szCs w:val="20"/>
        </w:rPr>
      </w:pPr>
      <w:r>
        <w:rPr>
          <w:noProof/>
          <w:lang w:eastAsia="fr-FR"/>
        </w:rPr>
        <w:lastRenderedPageBreak/>
        <w:drawing>
          <wp:inline distT="0" distB="0" distL="0" distR="0" wp14:anchorId="1B3E472A" wp14:editId="10CEBFD4">
            <wp:extent cx="6431280" cy="3802380"/>
            <wp:effectExtent l="0" t="0" r="7620" b="7620"/>
            <wp:docPr id="6"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067B3" w:rsidRDefault="006067B3" w:rsidP="006067B3">
      <w:pPr>
        <w:spacing w:line="240" w:lineRule="auto"/>
        <w:jc w:val="both"/>
        <w:rPr>
          <w:rFonts w:asciiTheme="minorHAnsi" w:hAnsiTheme="minorHAnsi" w:cstheme="minorHAnsi"/>
          <w:sz w:val="22"/>
        </w:rPr>
      </w:pPr>
    </w:p>
    <w:p w:rsidR="006067B3" w:rsidRPr="003B34EA" w:rsidRDefault="006067B3" w:rsidP="006067B3">
      <w:pPr>
        <w:spacing w:line="240" w:lineRule="auto"/>
        <w:jc w:val="both"/>
        <w:rPr>
          <w:szCs w:val="20"/>
        </w:rPr>
      </w:pPr>
    </w:p>
    <w:p w:rsidR="0038355B" w:rsidRPr="003B34EA" w:rsidRDefault="0038355B" w:rsidP="0038355B">
      <w:pPr>
        <w:jc w:val="both"/>
        <w:rPr>
          <w:szCs w:val="20"/>
        </w:rPr>
      </w:pPr>
      <w:r w:rsidRPr="003B34EA">
        <w:rPr>
          <w:szCs w:val="20"/>
        </w:rPr>
        <w:t>Les recettes de fonctionnement correspondent principalement : au produit des taxes locales, aux dotations versées par l'Etat, aux sommes encaissées au titre des prestations fournies à la population (</w:t>
      </w:r>
      <w:r w:rsidR="00461146">
        <w:rPr>
          <w:szCs w:val="20"/>
        </w:rPr>
        <w:t>restauration</w:t>
      </w:r>
      <w:r w:rsidRPr="003B34EA">
        <w:rPr>
          <w:szCs w:val="20"/>
        </w:rPr>
        <w:t>, accueils de loisirs…).</w:t>
      </w:r>
    </w:p>
    <w:p w:rsidR="003B34EA" w:rsidRDefault="003B34EA" w:rsidP="003B34EA">
      <w:pPr>
        <w:spacing w:line="240" w:lineRule="auto"/>
        <w:jc w:val="both"/>
        <w:rPr>
          <w:szCs w:val="20"/>
        </w:rPr>
      </w:pPr>
    </w:p>
    <w:p w:rsidR="003B34EA" w:rsidRDefault="00C6429B" w:rsidP="00941A1D">
      <w:pPr>
        <w:spacing w:line="240" w:lineRule="auto"/>
        <w:jc w:val="center"/>
        <w:rPr>
          <w:szCs w:val="20"/>
        </w:rPr>
      </w:pPr>
      <w:r>
        <w:rPr>
          <w:noProof/>
          <w:lang w:eastAsia="fr-FR"/>
        </w:rPr>
        <w:drawing>
          <wp:inline distT="0" distB="0" distL="0" distR="0" wp14:anchorId="378E3FC7" wp14:editId="6A95D0B2">
            <wp:extent cx="6019800" cy="4145280"/>
            <wp:effectExtent l="0" t="0" r="0" b="7620"/>
            <wp:docPr id="7"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B34EA" w:rsidRPr="00603D48" w:rsidRDefault="003B34EA" w:rsidP="003B34EA">
      <w:pPr>
        <w:spacing w:line="240" w:lineRule="auto"/>
        <w:jc w:val="both"/>
        <w:rPr>
          <w:szCs w:val="20"/>
        </w:rPr>
      </w:pPr>
    </w:p>
    <w:p w:rsidR="0038355B" w:rsidRPr="00603D48" w:rsidRDefault="0038355B" w:rsidP="00603D48">
      <w:pPr>
        <w:rPr>
          <w:szCs w:val="20"/>
        </w:rPr>
      </w:pPr>
    </w:p>
    <w:p w:rsidR="0038355B" w:rsidRPr="00603D48" w:rsidRDefault="0038355B" w:rsidP="0038355B">
      <w:pPr>
        <w:widowControl/>
        <w:numPr>
          <w:ilvl w:val="0"/>
          <w:numId w:val="9"/>
        </w:numPr>
        <w:autoSpaceDE/>
        <w:autoSpaceDN/>
        <w:spacing w:line="240" w:lineRule="auto"/>
        <w:jc w:val="both"/>
        <w:rPr>
          <w:i/>
          <w:szCs w:val="20"/>
          <w:u w:val="single"/>
        </w:rPr>
      </w:pPr>
      <w:r w:rsidRPr="00603D48">
        <w:rPr>
          <w:i/>
          <w:szCs w:val="20"/>
          <w:u w:val="single"/>
        </w:rPr>
        <w:t>2. La section d'investissement (qui a vocation à entretenir le patrimoine</w:t>
      </w:r>
      <w:r w:rsidR="00603D48">
        <w:rPr>
          <w:i/>
          <w:szCs w:val="20"/>
          <w:u w:val="single"/>
        </w:rPr>
        <w:t>, acquérir du matériel durable</w:t>
      </w:r>
      <w:r w:rsidRPr="00603D48">
        <w:rPr>
          <w:i/>
          <w:szCs w:val="20"/>
          <w:u w:val="single"/>
        </w:rPr>
        <w:t xml:space="preserve"> et à lancer de nouveaux projets pour préparer l'avenir).</w:t>
      </w:r>
    </w:p>
    <w:p w:rsidR="0038355B" w:rsidRPr="00603D48" w:rsidRDefault="0038355B" w:rsidP="0038355B">
      <w:pPr>
        <w:jc w:val="both"/>
        <w:rPr>
          <w:szCs w:val="20"/>
        </w:rPr>
      </w:pPr>
    </w:p>
    <w:p w:rsidR="0038355B" w:rsidRPr="00603D48" w:rsidRDefault="0038355B" w:rsidP="0038355B">
      <w:pPr>
        <w:jc w:val="both"/>
        <w:rPr>
          <w:szCs w:val="20"/>
        </w:rPr>
      </w:pPr>
      <w:r w:rsidRPr="00603D48">
        <w:rPr>
          <w:szCs w:val="20"/>
        </w:rPr>
        <w:t>Le budget d'investissement prépare l’avenir. Contrairement à la section de fonctionnement qui implique des notions de récurrence et de quotidienneté, la section d'investissem</w:t>
      </w:r>
      <w:r w:rsidR="00975448">
        <w:rPr>
          <w:szCs w:val="20"/>
        </w:rPr>
        <w:t>ent est liée aux projets de la V</w:t>
      </w:r>
      <w:r w:rsidRPr="00603D48">
        <w:rPr>
          <w:szCs w:val="20"/>
        </w:rPr>
        <w:t>ille à moyen ou long terme.</w:t>
      </w:r>
    </w:p>
    <w:p w:rsidR="0038355B" w:rsidRPr="00603D48" w:rsidRDefault="0038355B" w:rsidP="0038355B">
      <w:pPr>
        <w:jc w:val="both"/>
        <w:rPr>
          <w:szCs w:val="20"/>
        </w:rPr>
      </w:pPr>
    </w:p>
    <w:p w:rsidR="0038355B" w:rsidRPr="00603D48" w:rsidRDefault="0038355B" w:rsidP="0038355B">
      <w:pPr>
        <w:jc w:val="both"/>
        <w:rPr>
          <w:szCs w:val="20"/>
        </w:rPr>
      </w:pPr>
      <w:r w:rsidRPr="00603D48">
        <w:rPr>
          <w:szCs w:val="20"/>
        </w:rPr>
        <w:t xml:space="preserve">En dépenses d’investissement : apparaissent toutes les dépenses faisant varier durablement la valeur ou la consistance du patrimoine de la collectivité. Il s'agit notamment des acquisitions de mobilier, de matériel, </w:t>
      </w:r>
      <w:r w:rsidR="00CF13E1">
        <w:rPr>
          <w:szCs w:val="20"/>
        </w:rPr>
        <w:t>de logiciels</w:t>
      </w:r>
      <w:r w:rsidRPr="00603D48">
        <w:rPr>
          <w:szCs w:val="20"/>
        </w:rPr>
        <w:t>, de véhicules, de biens immobiliers, d'études et de travaux soit sur des structures déjà existantes, soit sur des structures en cours de création.</w:t>
      </w:r>
    </w:p>
    <w:p w:rsidR="00603D48" w:rsidRPr="00603D48" w:rsidRDefault="00603D48" w:rsidP="00603D48">
      <w:pPr>
        <w:spacing w:line="240" w:lineRule="auto"/>
        <w:jc w:val="both"/>
        <w:rPr>
          <w:szCs w:val="20"/>
        </w:rPr>
      </w:pPr>
    </w:p>
    <w:p w:rsidR="00603D48" w:rsidRPr="00603D48" w:rsidRDefault="004F4D44" w:rsidP="00941A1D">
      <w:pPr>
        <w:spacing w:line="240" w:lineRule="auto"/>
        <w:jc w:val="center"/>
        <w:rPr>
          <w:szCs w:val="20"/>
        </w:rPr>
      </w:pPr>
      <w:r>
        <w:rPr>
          <w:noProof/>
          <w:lang w:eastAsia="fr-FR"/>
        </w:rPr>
        <w:drawing>
          <wp:inline distT="0" distB="0" distL="0" distR="0" wp14:anchorId="3A734382" wp14:editId="7639A428">
            <wp:extent cx="5707380" cy="4602480"/>
            <wp:effectExtent l="0" t="0" r="7620" b="7620"/>
            <wp:docPr id="8"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03D48" w:rsidRPr="00603D48" w:rsidRDefault="00603D48" w:rsidP="00603D48">
      <w:pPr>
        <w:spacing w:line="240" w:lineRule="auto"/>
        <w:jc w:val="both"/>
        <w:rPr>
          <w:szCs w:val="20"/>
        </w:rPr>
      </w:pPr>
    </w:p>
    <w:p w:rsidR="0038355B" w:rsidRDefault="0038355B" w:rsidP="00603D48">
      <w:pPr>
        <w:spacing w:line="240" w:lineRule="auto"/>
        <w:jc w:val="both"/>
        <w:rPr>
          <w:szCs w:val="20"/>
        </w:rPr>
      </w:pPr>
    </w:p>
    <w:p w:rsidR="00941A1D" w:rsidRDefault="00941A1D">
      <w:pPr>
        <w:spacing w:line="240" w:lineRule="auto"/>
        <w:ind w:left="0"/>
        <w:rPr>
          <w:szCs w:val="20"/>
        </w:rPr>
      </w:pPr>
      <w:r>
        <w:rPr>
          <w:szCs w:val="20"/>
        </w:rPr>
        <w:br w:type="page"/>
      </w:r>
    </w:p>
    <w:p w:rsidR="00941A1D" w:rsidRDefault="00941A1D" w:rsidP="00603D48">
      <w:pPr>
        <w:spacing w:line="240" w:lineRule="auto"/>
        <w:jc w:val="both"/>
        <w:rPr>
          <w:szCs w:val="20"/>
        </w:rPr>
      </w:pPr>
    </w:p>
    <w:p w:rsidR="00941A1D" w:rsidRPr="00603D48" w:rsidRDefault="00941A1D" w:rsidP="00603D48">
      <w:pPr>
        <w:spacing w:line="240" w:lineRule="auto"/>
        <w:jc w:val="both"/>
        <w:rPr>
          <w:szCs w:val="20"/>
        </w:rPr>
      </w:pPr>
    </w:p>
    <w:p w:rsidR="0038355B" w:rsidRPr="00603D48" w:rsidRDefault="0038355B" w:rsidP="0038355B">
      <w:pPr>
        <w:jc w:val="both"/>
        <w:rPr>
          <w:szCs w:val="20"/>
        </w:rPr>
      </w:pPr>
      <w:r w:rsidRPr="00603D48">
        <w:rPr>
          <w:szCs w:val="20"/>
        </w:rPr>
        <w:t xml:space="preserve">En recettes d’investissement, on trouve principalement : les cessions immobilières, les emprunts, les subventions d'investissement perçues, la taxe d’aménagement et le reversement de TVA par l’Etat (le FCTVA). </w:t>
      </w:r>
    </w:p>
    <w:p w:rsidR="00603D48" w:rsidRPr="00603D48" w:rsidRDefault="00603D48" w:rsidP="00603D48">
      <w:pPr>
        <w:spacing w:line="240" w:lineRule="auto"/>
        <w:jc w:val="both"/>
        <w:rPr>
          <w:szCs w:val="20"/>
        </w:rPr>
      </w:pPr>
    </w:p>
    <w:p w:rsidR="00603D48" w:rsidRPr="00603D48" w:rsidRDefault="00603D48" w:rsidP="00603D48">
      <w:pPr>
        <w:spacing w:line="240" w:lineRule="auto"/>
        <w:jc w:val="both"/>
        <w:rPr>
          <w:szCs w:val="20"/>
        </w:rPr>
      </w:pPr>
    </w:p>
    <w:p w:rsidR="00603D48" w:rsidRDefault="00B42A9C" w:rsidP="006A27E4">
      <w:pPr>
        <w:spacing w:line="240" w:lineRule="auto"/>
        <w:jc w:val="center"/>
        <w:rPr>
          <w:noProof/>
          <w:lang w:eastAsia="fr-FR"/>
        </w:rPr>
      </w:pPr>
      <w:r>
        <w:rPr>
          <w:noProof/>
          <w:lang w:eastAsia="fr-FR"/>
        </w:rPr>
        <w:drawing>
          <wp:inline distT="0" distB="0" distL="0" distR="0" wp14:anchorId="79965F77" wp14:editId="75154352">
            <wp:extent cx="5608320" cy="4610100"/>
            <wp:effectExtent l="0" t="0" r="11430" b="0"/>
            <wp:docPr id="12" name="Graphique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42A9C" w:rsidRDefault="00B42A9C" w:rsidP="00603D48">
      <w:pPr>
        <w:spacing w:line="240" w:lineRule="auto"/>
        <w:jc w:val="both"/>
        <w:rPr>
          <w:noProof/>
          <w:lang w:eastAsia="fr-FR"/>
        </w:rPr>
      </w:pPr>
    </w:p>
    <w:p w:rsidR="00B42A9C" w:rsidRPr="00603D48" w:rsidRDefault="00B42A9C" w:rsidP="00603D48">
      <w:pPr>
        <w:spacing w:line="240" w:lineRule="auto"/>
        <w:jc w:val="both"/>
        <w:rPr>
          <w:szCs w:val="20"/>
        </w:rPr>
      </w:pPr>
    </w:p>
    <w:p w:rsidR="00603D48" w:rsidRPr="00937746" w:rsidRDefault="00603D48" w:rsidP="00937746">
      <w:pPr>
        <w:spacing w:line="240" w:lineRule="auto"/>
        <w:jc w:val="both"/>
        <w:rPr>
          <w:szCs w:val="20"/>
        </w:rPr>
      </w:pPr>
    </w:p>
    <w:p w:rsidR="00F3290B" w:rsidRDefault="00F3290B">
      <w:pPr>
        <w:spacing w:line="240" w:lineRule="auto"/>
        <w:ind w:left="0"/>
        <w:rPr>
          <w:szCs w:val="20"/>
        </w:rPr>
      </w:pPr>
      <w:r>
        <w:rPr>
          <w:szCs w:val="20"/>
        </w:rPr>
        <w:br w:type="page"/>
      </w:r>
    </w:p>
    <w:p w:rsidR="0038355B" w:rsidRPr="00937746" w:rsidRDefault="0038355B" w:rsidP="00F3290B">
      <w:pPr>
        <w:spacing w:line="240" w:lineRule="auto"/>
        <w:rPr>
          <w:szCs w:val="20"/>
        </w:rPr>
      </w:pPr>
    </w:p>
    <w:p w:rsidR="0038355B" w:rsidRPr="00B73E82" w:rsidRDefault="0038355B" w:rsidP="00F3290B">
      <w:pPr>
        <w:pStyle w:val="Titre1"/>
        <w:spacing w:before="0" w:line="240" w:lineRule="auto"/>
      </w:pPr>
      <w:r w:rsidRPr="00B73E82">
        <w:t>Présentation synthétique du budget :</w:t>
      </w:r>
    </w:p>
    <w:p w:rsidR="0038355B" w:rsidRPr="0006241D" w:rsidRDefault="0038355B" w:rsidP="00F3290B">
      <w:pPr>
        <w:spacing w:line="240" w:lineRule="auto"/>
        <w:jc w:val="both"/>
        <w:rPr>
          <w:szCs w:val="20"/>
        </w:rPr>
      </w:pPr>
    </w:p>
    <w:p w:rsidR="0038355B" w:rsidRPr="0006241D" w:rsidRDefault="009D6D0E" w:rsidP="00F3290B">
      <w:pPr>
        <w:spacing w:line="240" w:lineRule="auto"/>
        <w:rPr>
          <w:szCs w:val="20"/>
        </w:rPr>
      </w:pPr>
      <w:r>
        <w:rPr>
          <w:szCs w:val="20"/>
        </w:rPr>
        <w:t>Le budget primitif 202</w:t>
      </w:r>
      <w:r w:rsidR="00941A1D">
        <w:rPr>
          <w:szCs w:val="20"/>
        </w:rPr>
        <w:t>5</w:t>
      </w:r>
      <w:r w:rsidR="0038355B" w:rsidRPr="0006241D">
        <w:rPr>
          <w:szCs w:val="20"/>
        </w:rPr>
        <w:t xml:space="preserve"> </w:t>
      </w:r>
      <w:r w:rsidR="0038355B" w:rsidRPr="00B42A9C">
        <w:rPr>
          <w:szCs w:val="20"/>
        </w:rPr>
        <w:t xml:space="preserve">s’établit à </w:t>
      </w:r>
      <w:r w:rsidR="00B42A9C" w:rsidRPr="00B42A9C">
        <w:rPr>
          <w:szCs w:val="20"/>
        </w:rPr>
        <w:t xml:space="preserve">67 530 112,49 </w:t>
      </w:r>
      <w:r w:rsidR="0038355B" w:rsidRPr="00B42A9C">
        <w:rPr>
          <w:szCs w:val="20"/>
        </w:rPr>
        <w:t>€.</w:t>
      </w:r>
      <w:r w:rsidR="0038355B" w:rsidRPr="0006241D">
        <w:rPr>
          <w:szCs w:val="20"/>
        </w:rPr>
        <w:t xml:space="preserve"> </w:t>
      </w:r>
    </w:p>
    <w:p w:rsidR="0038355B" w:rsidRDefault="0038355B" w:rsidP="00F3290B">
      <w:pPr>
        <w:spacing w:line="240" w:lineRule="auto"/>
        <w:jc w:val="both"/>
        <w:rPr>
          <w:szCs w:val="20"/>
        </w:rPr>
      </w:pPr>
    </w:p>
    <w:p w:rsidR="005B1F39" w:rsidRDefault="00B42A9C" w:rsidP="00BD0DF0">
      <w:pPr>
        <w:spacing w:line="240" w:lineRule="auto"/>
        <w:ind w:left="-284"/>
        <w:jc w:val="center"/>
        <w:rPr>
          <w:szCs w:val="20"/>
        </w:rPr>
      </w:pPr>
      <w:r w:rsidRPr="00B42A9C">
        <w:rPr>
          <w:noProof/>
          <w:lang w:eastAsia="fr-FR"/>
        </w:rPr>
        <w:drawing>
          <wp:inline distT="0" distB="0" distL="0" distR="0" wp14:anchorId="6173077C" wp14:editId="14F31084">
            <wp:extent cx="6499860" cy="6326432"/>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01330" cy="6327863"/>
                    </a:xfrm>
                    <a:prstGeom prst="rect">
                      <a:avLst/>
                    </a:prstGeom>
                    <a:noFill/>
                    <a:ln>
                      <a:noFill/>
                    </a:ln>
                  </pic:spPr>
                </pic:pic>
              </a:graphicData>
            </a:graphic>
          </wp:inline>
        </w:drawing>
      </w:r>
    </w:p>
    <w:p w:rsidR="005B1F39" w:rsidRDefault="005B1F39" w:rsidP="00F3290B">
      <w:pPr>
        <w:spacing w:line="240" w:lineRule="auto"/>
        <w:jc w:val="both"/>
        <w:rPr>
          <w:szCs w:val="20"/>
        </w:rPr>
      </w:pPr>
    </w:p>
    <w:p w:rsidR="00BD0DF0" w:rsidRDefault="00BD0DF0">
      <w:pPr>
        <w:spacing w:line="240" w:lineRule="auto"/>
        <w:ind w:left="0"/>
        <w:rPr>
          <w:szCs w:val="20"/>
        </w:rPr>
      </w:pPr>
      <w:r>
        <w:rPr>
          <w:szCs w:val="20"/>
        </w:rPr>
        <w:br w:type="page"/>
      </w:r>
    </w:p>
    <w:p w:rsidR="00782321" w:rsidRPr="0006241D" w:rsidRDefault="00782321" w:rsidP="00F3290B">
      <w:pPr>
        <w:spacing w:line="240" w:lineRule="auto"/>
        <w:jc w:val="both"/>
        <w:rPr>
          <w:szCs w:val="20"/>
        </w:rPr>
      </w:pPr>
    </w:p>
    <w:p w:rsidR="0038355B" w:rsidRPr="00B73E82" w:rsidRDefault="00242B1E" w:rsidP="00F3290B">
      <w:pPr>
        <w:pStyle w:val="Titre1"/>
        <w:spacing w:before="0" w:line="240" w:lineRule="auto"/>
      </w:pPr>
      <w:r>
        <w:t>Principaux</w:t>
      </w:r>
      <w:r w:rsidR="0038355B" w:rsidRPr="00B73E82">
        <w:t xml:space="preserve"> ratios : </w:t>
      </w:r>
    </w:p>
    <w:p w:rsidR="0038355B" w:rsidRDefault="0038355B" w:rsidP="00F3290B">
      <w:pPr>
        <w:spacing w:line="240" w:lineRule="auto"/>
        <w:jc w:val="both"/>
        <w:rPr>
          <w:szCs w:val="20"/>
        </w:rPr>
      </w:pPr>
    </w:p>
    <w:p w:rsidR="00BC0BFF" w:rsidRDefault="00BC0BFF" w:rsidP="00BC0BFF">
      <w:pPr>
        <w:spacing w:line="240" w:lineRule="auto"/>
        <w:ind w:left="-567"/>
        <w:jc w:val="both"/>
        <w:rPr>
          <w:szCs w:val="20"/>
        </w:rPr>
      </w:pPr>
      <w:r>
        <w:rPr>
          <w:noProof/>
          <w:szCs w:val="20"/>
          <w:lang w:eastAsia="fr-FR"/>
        </w:rPr>
        <w:drawing>
          <wp:inline distT="0" distB="0" distL="0" distR="0">
            <wp:extent cx="7216140" cy="1333500"/>
            <wp:effectExtent l="0" t="0" r="381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768AA42.tmp"/>
                    <pic:cNvPicPr/>
                  </pic:nvPicPr>
                  <pic:blipFill>
                    <a:blip r:embed="rId14">
                      <a:extLst>
                        <a:ext uri="{28A0092B-C50C-407E-A947-70E740481C1C}">
                          <a14:useLocalDpi xmlns:a14="http://schemas.microsoft.com/office/drawing/2010/main" val="0"/>
                        </a:ext>
                      </a:extLst>
                    </a:blip>
                    <a:stretch>
                      <a:fillRect/>
                    </a:stretch>
                  </pic:blipFill>
                  <pic:spPr>
                    <a:xfrm>
                      <a:off x="0" y="0"/>
                      <a:ext cx="7224203" cy="1334990"/>
                    </a:xfrm>
                    <a:prstGeom prst="rect">
                      <a:avLst/>
                    </a:prstGeom>
                  </pic:spPr>
                </pic:pic>
              </a:graphicData>
            </a:graphic>
          </wp:inline>
        </w:drawing>
      </w:r>
    </w:p>
    <w:p w:rsidR="00BC0BFF" w:rsidRDefault="00BC0BFF" w:rsidP="00F3290B">
      <w:pPr>
        <w:spacing w:line="240" w:lineRule="auto"/>
        <w:jc w:val="both"/>
        <w:rPr>
          <w:szCs w:val="20"/>
        </w:rPr>
      </w:pPr>
    </w:p>
    <w:p w:rsidR="00AF4754" w:rsidRDefault="00AF4754" w:rsidP="00F3290B">
      <w:pPr>
        <w:spacing w:line="240" w:lineRule="auto"/>
        <w:jc w:val="both"/>
        <w:rPr>
          <w:szCs w:val="20"/>
        </w:rPr>
      </w:pPr>
    </w:p>
    <w:p w:rsidR="00E35286" w:rsidRDefault="00F176D3" w:rsidP="00695252">
      <w:pPr>
        <w:spacing w:line="240" w:lineRule="auto"/>
        <w:jc w:val="both"/>
        <w:rPr>
          <w:szCs w:val="20"/>
        </w:rPr>
      </w:pPr>
      <w:r>
        <w:rPr>
          <w:szCs w:val="20"/>
        </w:rPr>
        <w:t>De plus, au budget primitif 202</w:t>
      </w:r>
      <w:r w:rsidR="00BC0BFF">
        <w:rPr>
          <w:szCs w:val="20"/>
        </w:rPr>
        <w:t>5</w:t>
      </w:r>
      <w:r>
        <w:rPr>
          <w:szCs w:val="20"/>
        </w:rPr>
        <w:t xml:space="preserve"> de la </w:t>
      </w:r>
      <w:r w:rsidR="00975448">
        <w:rPr>
          <w:szCs w:val="20"/>
        </w:rPr>
        <w:t>V</w:t>
      </w:r>
      <w:r>
        <w:rPr>
          <w:szCs w:val="20"/>
        </w:rPr>
        <w:t xml:space="preserve">ille, l’épargne brute est de </w:t>
      </w:r>
      <w:r w:rsidR="006C79D8">
        <w:rPr>
          <w:szCs w:val="20"/>
        </w:rPr>
        <w:t>1 060 000</w:t>
      </w:r>
      <w:r w:rsidR="0035268C">
        <w:rPr>
          <w:szCs w:val="20"/>
        </w:rPr>
        <w:t xml:space="preserve"> €.</w:t>
      </w:r>
    </w:p>
    <w:p w:rsidR="0038355B" w:rsidRPr="0006241D" w:rsidRDefault="0038355B" w:rsidP="00F3290B">
      <w:pPr>
        <w:spacing w:line="240" w:lineRule="auto"/>
        <w:jc w:val="both"/>
        <w:rPr>
          <w:szCs w:val="20"/>
        </w:rPr>
      </w:pPr>
    </w:p>
    <w:p w:rsidR="0038355B" w:rsidRPr="0006241D" w:rsidRDefault="0038355B" w:rsidP="00F3290B">
      <w:pPr>
        <w:spacing w:line="240" w:lineRule="auto"/>
        <w:jc w:val="both"/>
        <w:rPr>
          <w:szCs w:val="20"/>
        </w:rPr>
      </w:pPr>
    </w:p>
    <w:p w:rsidR="0038355B" w:rsidRPr="00B73E82" w:rsidRDefault="0038355B" w:rsidP="00F3290B">
      <w:pPr>
        <w:pStyle w:val="Titre1"/>
        <w:spacing w:before="0" w:line="240" w:lineRule="auto"/>
      </w:pPr>
      <w:r w:rsidRPr="00B73E82">
        <w:t xml:space="preserve">Un endettement contenu, sécurisé à un taux moyen faible : </w:t>
      </w:r>
    </w:p>
    <w:p w:rsidR="0038355B" w:rsidRPr="0006241D" w:rsidRDefault="0038355B" w:rsidP="00F3290B">
      <w:pPr>
        <w:spacing w:line="240" w:lineRule="auto"/>
        <w:jc w:val="both"/>
        <w:rPr>
          <w:szCs w:val="20"/>
        </w:rPr>
      </w:pPr>
    </w:p>
    <w:tbl>
      <w:tblPr>
        <w:tblStyle w:val="Grilledutableau"/>
        <w:tblW w:w="0" w:type="auto"/>
        <w:tblLook w:val="04A0" w:firstRow="1" w:lastRow="0" w:firstColumn="1" w:lastColumn="0" w:noHBand="0" w:noVBand="1"/>
      </w:tblPr>
      <w:tblGrid>
        <w:gridCol w:w="3539"/>
        <w:gridCol w:w="2410"/>
      </w:tblGrid>
      <w:tr w:rsidR="0038355B" w:rsidRPr="0006241D" w:rsidTr="0013490F">
        <w:trPr>
          <w:trHeight w:val="299"/>
        </w:trPr>
        <w:tc>
          <w:tcPr>
            <w:tcW w:w="3539" w:type="dxa"/>
            <w:vAlign w:val="center"/>
          </w:tcPr>
          <w:p w:rsidR="0038355B" w:rsidRPr="0006241D" w:rsidRDefault="0038355B" w:rsidP="006C79D8">
            <w:pPr>
              <w:spacing w:line="240" w:lineRule="auto"/>
              <w:rPr>
                <w:szCs w:val="20"/>
              </w:rPr>
            </w:pPr>
            <w:r w:rsidRPr="0006241D">
              <w:rPr>
                <w:szCs w:val="20"/>
              </w:rPr>
              <w:t>Encours de la dette au 01/01/202</w:t>
            </w:r>
            <w:r w:rsidR="006C79D8">
              <w:rPr>
                <w:szCs w:val="20"/>
              </w:rPr>
              <w:t>5</w:t>
            </w:r>
          </w:p>
        </w:tc>
        <w:tc>
          <w:tcPr>
            <w:tcW w:w="2410" w:type="dxa"/>
            <w:vAlign w:val="center"/>
          </w:tcPr>
          <w:p w:rsidR="0038355B" w:rsidRPr="0006241D" w:rsidRDefault="006C79D8" w:rsidP="0013490F">
            <w:pPr>
              <w:spacing w:line="240" w:lineRule="auto"/>
              <w:jc w:val="right"/>
              <w:rPr>
                <w:szCs w:val="20"/>
              </w:rPr>
            </w:pPr>
            <w:r w:rsidRPr="006C79D8">
              <w:rPr>
                <w:szCs w:val="20"/>
              </w:rPr>
              <w:t>23 925 032,66</w:t>
            </w:r>
            <w:r>
              <w:rPr>
                <w:szCs w:val="20"/>
              </w:rPr>
              <w:t xml:space="preserve"> </w:t>
            </w:r>
            <w:r w:rsidR="0038355B" w:rsidRPr="0006241D">
              <w:rPr>
                <w:szCs w:val="20"/>
              </w:rPr>
              <w:t>€</w:t>
            </w:r>
          </w:p>
        </w:tc>
      </w:tr>
      <w:tr w:rsidR="0038355B" w:rsidRPr="0006241D" w:rsidTr="0013490F">
        <w:trPr>
          <w:trHeight w:val="770"/>
        </w:trPr>
        <w:tc>
          <w:tcPr>
            <w:tcW w:w="3539" w:type="dxa"/>
            <w:vAlign w:val="center"/>
          </w:tcPr>
          <w:p w:rsidR="0038355B" w:rsidRPr="0006241D" w:rsidRDefault="0038355B" w:rsidP="0013490F">
            <w:pPr>
              <w:spacing w:line="240" w:lineRule="auto"/>
              <w:rPr>
                <w:szCs w:val="20"/>
              </w:rPr>
            </w:pPr>
            <w:r w:rsidRPr="0006241D">
              <w:rPr>
                <w:szCs w:val="20"/>
              </w:rPr>
              <w:t>Répartition de l’encours</w:t>
            </w:r>
          </w:p>
        </w:tc>
        <w:tc>
          <w:tcPr>
            <w:tcW w:w="2410" w:type="dxa"/>
            <w:vAlign w:val="center"/>
          </w:tcPr>
          <w:p w:rsidR="0038355B" w:rsidRPr="0006241D" w:rsidRDefault="0038355B" w:rsidP="0013490F">
            <w:pPr>
              <w:spacing w:line="240" w:lineRule="auto"/>
              <w:jc w:val="right"/>
              <w:rPr>
                <w:szCs w:val="20"/>
              </w:rPr>
            </w:pPr>
            <w:r w:rsidRPr="0006241D">
              <w:rPr>
                <w:szCs w:val="20"/>
              </w:rPr>
              <w:t xml:space="preserve">Taux fixe : </w:t>
            </w:r>
            <w:r w:rsidR="00967DE2">
              <w:rPr>
                <w:szCs w:val="20"/>
              </w:rPr>
              <w:t>91,69</w:t>
            </w:r>
            <w:r w:rsidRPr="0006241D">
              <w:rPr>
                <w:szCs w:val="20"/>
              </w:rPr>
              <w:t xml:space="preserve"> %</w:t>
            </w:r>
          </w:p>
          <w:p w:rsidR="0038355B" w:rsidRPr="0006241D" w:rsidRDefault="0038355B" w:rsidP="0013490F">
            <w:pPr>
              <w:spacing w:line="240" w:lineRule="auto"/>
              <w:jc w:val="right"/>
              <w:rPr>
                <w:szCs w:val="20"/>
              </w:rPr>
            </w:pPr>
            <w:r w:rsidRPr="0006241D">
              <w:rPr>
                <w:szCs w:val="20"/>
              </w:rPr>
              <w:t xml:space="preserve">Taux variable : </w:t>
            </w:r>
            <w:r w:rsidR="00967DE2">
              <w:rPr>
                <w:szCs w:val="20"/>
              </w:rPr>
              <w:t>8</w:t>
            </w:r>
            <w:r w:rsidR="00CA330A">
              <w:rPr>
                <w:szCs w:val="20"/>
              </w:rPr>
              <w:t>,</w:t>
            </w:r>
            <w:r w:rsidR="00967DE2">
              <w:rPr>
                <w:szCs w:val="20"/>
              </w:rPr>
              <w:t>31</w:t>
            </w:r>
            <w:r w:rsidRPr="0006241D">
              <w:rPr>
                <w:szCs w:val="20"/>
              </w:rPr>
              <w:t xml:space="preserve"> %</w:t>
            </w:r>
          </w:p>
          <w:p w:rsidR="0038355B" w:rsidRPr="0006241D" w:rsidRDefault="0038355B" w:rsidP="00CA330A">
            <w:pPr>
              <w:spacing w:line="240" w:lineRule="auto"/>
              <w:ind w:left="34"/>
              <w:jc w:val="right"/>
              <w:rPr>
                <w:szCs w:val="20"/>
              </w:rPr>
            </w:pPr>
            <w:r w:rsidRPr="0006241D">
              <w:rPr>
                <w:szCs w:val="20"/>
              </w:rPr>
              <w:t>Taux structuré : 0,</w:t>
            </w:r>
            <w:r w:rsidR="00CA330A">
              <w:rPr>
                <w:szCs w:val="20"/>
              </w:rPr>
              <w:t>00</w:t>
            </w:r>
            <w:r w:rsidRPr="0006241D">
              <w:rPr>
                <w:szCs w:val="20"/>
              </w:rPr>
              <w:t xml:space="preserve"> %</w:t>
            </w:r>
          </w:p>
        </w:tc>
      </w:tr>
      <w:tr w:rsidR="0038355B" w:rsidRPr="0006241D" w:rsidTr="0013490F">
        <w:trPr>
          <w:trHeight w:val="355"/>
        </w:trPr>
        <w:tc>
          <w:tcPr>
            <w:tcW w:w="3539" w:type="dxa"/>
            <w:vAlign w:val="center"/>
          </w:tcPr>
          <w:p w:rsidR="0038355B" w:rsidRPr="0006241D" w:rsidRDefault="0038355B" w:rsidP="0013490F">
            <w:pPr>
              <w:spacing w:line="240" w:lineRule="auto"/>
              <w:rPr>
                <w:szCs w:val="20"/>
              </w:rPr>
            </w:pPr>
            <w:r w:rsidRPr="0006241D">
              <w:rPr>
                <w:szCs w:val="20"/>
              </w:rPr>
              <w:t>Taux moyen de la dette</w:t>
            </w:r>
          </w:p>
        </w:tc>
        <w:tc>
          <w:tcPr>
            <w:tcW w:w="2410" w:type="dxa"/>
            <w:vAlign w:val="center"/>
          </w:tcPr>
          <w:p w:rsidR="0038355B" w:rsidRPr="0006241D" w:rsidRDefault="0038355B" w:rsidP="00F26B43">
            <w:pPr>
              <w:spacing w:line="240" w:lineRule="auto"/>
              <w:jc w:val="right"/>
              <w:rPr>
                <w:szCs w:val="20"/>
              </w:rPr>
            </w:pPr>
            <w:r w:rsidRPr="0006241D">
              <w:rPr>
                <w:szCs w:val="20"/>
              </w:rPr>
              <w:t>2,</w:t>
            </w:r>
            <w:r w:rsidR="00F26B43">
              <w:rPr>
                <w:szCs w:val="20"/>
              </w:rPr>
              <w:t>34</w:t>
            </w:r>
            <w:r w:rsidRPr="0006241D">
              <w:rPr>
                <w:szCs w:val="20"/>
              </w:rPr>
              <w:t xml:space="preserve"> %</w:t>
            </w:r>
          </w:p>
        </w:tc>
      </w:tr>
    </w:tbl>
    <w:p w:rsidR="0038355B" w:rsidRPr="0006241D" w:rsidRDefault="0038355B" w:rsidP="00F3290B">
      <w:pPr>
        <w:spacing w:line="240" w:lineRule="auto"/>
        <w:jc w:val="both"/>
        <w:rPr>
          <w:szCs w:val="20"/>
        </w:rPr>
      </w:pPr>
    </w:p>
    <w:tbl>
      <w:tblPr>
        <w:tblStyle w:val="Grilledutableau"/>
        <w:tblW w:w="0" w:type="auto"/>
        <w:tblLook w:val="04A0" w:firstRow="1" w:lastRow="0" w:firstColumn="1" w:lastColumn="0" w:noHBand="0" w:noVBand="1"/>
      </w:tblPr>
      <w:tblGrid>
        <w:gridCol w:w="3823"/>
        <w:gridCol w:w="1842"/>
      </w:tblGrid>
      <w:tr w:rsidR="0038355B" w:rsidRPr="0006241D" w:rsidTr="0013490F">
        <w:trPr>
          <w:trHeight w:val="305"/>
        </w:trPr>
        <w:tc>
          <w:tcPr>
            <w:tcW w:w="5665" w:type="dxa"/>
            <w:gridSpan w:val="2"/>
            <w:vAlign w:val="center"/>
          </w:tcPr>
          <w:p w:rsidR="0038355B" w:rsidRPr="0006241D" w:rsidRDefault="0038355B" w:rsidP="00F26B43">
            <w:pPr>
              <w:spacing w:line="240" w:lineRule="auto"/>
              <w:rPr>
                <w:szCs w:val="20"/>
                <w:u w:val="single"/>
              </w:rPr>
            </w:pPr>
            <w:r w:rsidRPr="0006241D">
              <w:rPr>
                <w:szCs w:val="20"/>
                <w:u w:val="single"/>
              </w:rPr>
              <w:t>Inscriptions au Budget Primitif 202</w:t>
            </w:r>
            <w:r w:rsidR="00F26B43">
              <w:rPr>
                <w:szCs w:val="20"/>
                <w:u w:val="single"/>
              </w:rPr>
              <w:t>5</w:t>
            </w:r>
            <w:r w:rsidRPr="0006241D">
              <w:rPr>
                <w:szCs w:val="20"/>
                <w:u w:val="single"/>
              </w:rPr>
              <w:t> :</w:t>
            </w:r>
          </w:p>
        </w:tc>
      </w:tr>
      <w:tr w:rsidR="0038355B" w:rsidRPr="0006241D" w:rsidTr="0013490F">
        <w:trPr>
          <w:trHeight w:val="350"/>
        </w:trPr>
        <w:tc>
          <w:tcPr>
            <w:tcW w:w="3823" w:type="dxa"/>
            <w:vAlign w:val="center"/>
          </w:tcPr>
          <w:p w:rsidR="0038355B" w:rsidRPr="0006241D" w:rsidRDefault="0038355B" w:rsidP="0013490F">
            <w:pPr>
              <w:spacing w:line="240" w:lineRule="auto"/>
              <w:rPr>
                <w:szCs w:val="20"/>
              </w:rPr>
            </w:pPr>
            <w:r w:rsidRPr="0006241D">
              <w:rPr>
                <w:szCs w:val="20"/>
              </w:rPr>
              <w:t>Frais financiers</w:t>
            </w:r>
          </w:p>
        </w:tc>
        <w:tc>
          <w:tcPr>
            <w:tcW w:w="1842" w:type="dxa"/>
            <w:vAlign w:val="center"/>
          </w:tcPr>
          <w:p w:rsidR="0038355B" w:rsidRPr="0006241D" w:rsidRDefault="00F26B43" w:rsidP="0013490F">
            <w:pPr>
              <w:spacing w:line="240" w:lineRule="auto"/>
              <w:jc w:val="right"/>
              <w:rPr>
                <w:szCs w:val="20"/>
              </w:rPr>
            </w:pPr>
            <w:r>
              <w:rPr>
                <w:szCs w:val="20"/>
              </w:rPr>
              <w:t>655 022</w:t>
            </w:r>
            <w:r w:rsidR="0038355B" w:rsidRPr="0006241D">
              <w:rPr>
                <w:szCs w:val="20"/>
              </w:rPr>
              <w:t xml:space="preserve"> €</w:t>
            </w:r>
          </w:p>
        </w:tc>
      </w:tr>
      <w:tr w:rsidR="0038355B" w:rsidRPr="0006241D" w:rsidTr="0013490F">
        <w:trPr>
          <w:trHeight w:val="383"/>
        </w:trPr>
        <w:tc>
          <w:tcPr>
            <w:tcW w:w="3823" w:type="dxa"/>
            <w:vAlign w:val="center"/>
          </w:tcPr>
          <w:p w:rsidR="0038355B" w:rsidRPr="0006241D" w:rsidRDefault="0038355B" w:rsidP="0013490F">
            <w:pPr>
              <w:spacing w:line="240" w:lineRule="auto"/>
              <w:rPr>
                <w:szCs w:val="20"/>
              </w:rPr>
            </w:pPr>
            <w:r w:rsidRPr="0006241D">
              <w:rPr>
                <w:szCs w:val="20"/>
              </w:rPr>
              <w:t>Remboursement en capital de la dette</w:t>
            </w:r>
          </w:p>
        </w:tc>
        <w:tc>
          <w:tcPr>
            <w:tcW w:w="1842" w:type="dxa"/>
            <w:vAlign w:val="center"/>
          </w:tcPr>
          <w:p w:rsidR="0038355B" w:rsidRPr="0006241D" w:rsidRDefault="00863B05" w:rsidP="0013490F">
            <w:pPr>
              <w:spacing w:line="240" w:lineRule="auto"/>
              <w:jc w:val="right"/>
              <w:rPr>
                <w:szCs w:val="20"/>
              </w:rPr>
            </w:pPr>
            <w:r>
              <w:rPr>
                <w:szCs w:val="20"/>
              </w:rPr>
              <w:t>3 108 260</w:t>
            </w:r>
            <w:r w:rsidR="0038355B" w:rsidRPr="0006241D">
              <w:rPr>
                <w:szCs w:val="20"/>
              </w:rPr>
              <w:t xml:space="preserve"> €</w:t>
            </w:r>
          </w:p>
        </w:tc>
      </w:tr>
      <w:tr w:rsidR="0038355B" w:rsidRPr="0006241D" w:rsidTr="008D25B1">
        <w:trPr>
          <w:trHeight w:val="380"/>
        </w:trPr>
        <w:tc>
          <w:tcPr>
            <w:tcW w:w="3823" w:type="dxa"/>
            <w:vAlign w:val="center"/>
          </w:tcPr>
          <w:p w:rsidR="0038355B" w:rsidRPr="0006241D" w:rsidRDefault="0038355B" w:rsidP="0013490F">
            <w:pPr>
              <w:spacing w:line="240" w:lineRule="auto"/>
              <w:rPr>
                <w:szCs w:val="20"/>
              </w:rPr>
            </w:pPr>
            <w:r w:rsidRPr="0006241D">
              <w:rPr>
                <w:szCs w:val="20"/>
              </w:rPr>
              <w:t>Nouveaux emprunts</w:t>
            </w:r>
          </w:p>
        </w:tc>
        <w:tc>
          <w:tcPr>
            <w:tcW w:w="1842" w:type="dxa"/>
            <w:vAlign w:val="center"/>
          </w:tcPr>
          <w:p w:rsidR="0038355B" w:rsidRPr="0006241D" w:rsidRDefault="000F33C0" w:rsidP="0013490F">
            <w:pPr>
              <w:spacing w:line="240" w:lineRule="auto"/>
              <w:jc w:val="right"/>
              <w:rPr>
                <w:szCs w:val="20"/>
              </w:rPr>
            </w:pPr>
            <w:r>
              <w:rPr>
                <w:szCs w:val="20"/>
              </w:rPr>
              <w:t>4 5</w:t>
            </w:r>
            <w:r w:rsidR="0038355B" w:rsidRPr="0006241D">
              <w:rPr>
                <w:szCs w:val="20"/>
              </w:rPr>
              <w:t>00 000 €</w:t>
            </w:r>
          </w:p>
        </w:tc>
      </w:tr>
    </w:tbl>
    <w:p w:rsidR="0038355B" w:rsidRPr="0006241D" w:rsidRDefault="0038355B" w:rsidP="00F3290B">
      <w:pPr>
        <w:spacing w:line="240" w:lineRule="auto"/>
        <w:jc w:val="both"/>
        <w:rPr>
          <w:szCs w:val="20"/>
        </w:rPr>
      </w:pPr>
    </w:p>
    <w:p w:rsidR="0038355B" w:rsidRPr="0006241D" w:rsidRDefault="0038355B" w:rsidP="00F3290B">
      <w:pPr>
        <w:spacing w:line="240" w:lineRule="auto"/>
        <w:jc w:val="both"/>
        <w:rPr>
          <w:szCs w:val="20"/>
        </w:rPr>
      </w:pPr>
    </w:p>
    <w:p w:rsidR="0038355B" w:rsidRPr="0006241D" w:rsidRDefault="0038355B" w:rsidP="00F3290B">
      <w:pPr>
        <w:spacing w:line="240" w:lineRule="auto"/>
        <w:jc w:val="both"/>
        <w:rPr>
          <w:szCs w:val="20"/>
        </w:rPr>
      </w:pPr>
    </w:p>
    <w:p w:rsidR="0038355B" w:rsidRPr="0006241D" w:rsidRDefault="0038355B" w:rsidP="00975448">
      <w:pPr>
        <w:spacing w:line="240" w:lineRule="auto"/>
        <w:jc w:val="both"/>
        <w:rPr>
          <w:szCs w:val="20"/>
        </w:rPr>
      </w:pPr>
      <w:r w:rsidRPr="0006241D">
        <w:rPr>
          <w:szCs w:val="20"/>
        </w:rPr>
        <w:t xml:space="preserve">Pour consulter le rapport détaillé transmis au </w:t>
      </w:r>
      <w:r w:rsidR="00975448">
        <w:rPr>
          <w:szCs w:val="20"/>
        </w:rPr>
        <w:t>C</w:t>
      </w:r>
      <w:r w:rsidRPr="0006241D">
        <w:rPr>
          <w:szCs w:val="20"/>
        </w:rPr>
        <w:t>onseil municipal :</w:t>
      </w:r>
      <w:r w:rsidR="00975448">
        <w:rPr>
          <w:szCs w:val="20"/>
        </w:rPr>
        <w:t xml:space="preserve"> LIEN</w:t>
      </w:r>
    </w:p>
    <w:p w:rsidR="0038355B" w:rsidRPr="0006241D" w:rsidRDefault="0038355B" w:rsidP="00F3290B">
      <w:pPr>
        <w:spacing w:line="240" w:lineRule="auto"/>
        <w:rPr>
          <w:szCs w:val="20"/>
        </w:rPr>
      </w:pPr>
      <w:bookmarkStart w:id="0" w:name="_GoBack"/>
      <w:bookmarkEnd w:id="0"/>
    </w:p>
    <w:sectPr w:rsidR="0038355B" w:rsidRPr="0006241D" w:rsidSect="0055390D">
      <w:footerReference w:type="default" r:id="rId15"/>
      <w:type w:val="continuous"/>
      <w:pgSz w:w="11910" w:h="16840"/>
      <w:pgMar w:top="1135" w:right="840" w:bottom="280" w:left="8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77E" w:rsidRDefault="0011777E" w:rsidP="00330F0E">
      <w:r>
        <w:separator/>
      </w:r>
    </w:p>
  </w:endnote>
  <w:endnote w:type="continuationSeparator" w:id="0">
    <w:p w:rsidR="0011777E" w:rsidRDefault="0011777E" w:rsidP="00330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F0E" w:rsidRDefault="00330F0E">
    <w:pPr>
      <w:pStyle w:val="Pieddepage"/>
    </w:pPr>
    <w:r>
      <w:rPr>
        <w:noProof/>
        <w:lang w:eastAsia="fr-FR"/>
      </w:rPr>
      <w:drawing>
        <wp:anchor distT="0" distB="0" distL="0" distR="0" simplePos="0" relativeHeight="251659264" behindDoc="0" locked="0" layoutInCell="1" allowOverlap="1" wp14:anchorId="3BC2CEC0" wp14:editId="3B8263FB">
          <wp:simplePos x="0" y="0"/>
          <wp:positionH relativeFrom="page">
            <wp:posOffset>546100</wp:posOffset>
          </wp:positionH>
          <wp:positionV relativeFrom="paragraph">
            <wp:posOffset>161925</wp:posOffset>
          </wp:positionV>
          <wp:extent cx="6192797" cy="192023"/>
          <wp:effectExtent l="0" t="0" r="0" b="0"/>
          <wp:wrapTopAndBottom/>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6192797" cy="192023"/>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77E" w:rsidRDefault="0011777E" w:rsidP="00330F0E">
      <w:r>
        <w:separator/>
      </w:r>
    </w:p>
  </w:footnote>
  <w:footnote w:type="continuationSeparator" w:id="0">
    <w:p w:rsidR="0011777E" w:rsidRDefault="0011777E" w:rsidP="00330F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91F58"/>
    <w:multiLevelType w:val="hybridMultilevel"/>
    <w:tmpl w:val="28164E3A"/>
    <w:lvl w:ilvl="0" w:tplc="93DA78D6">
      <w:start w:val="1"/>
      <w:numFmt w:val="decimal"/>
      <w:lvlText w:val="%1."/>
      <w:lvlJc w:val="left"/>
      <w:pPr>
        <w:ind w:left="777" w:hanging="360"/>
      </w:pPr>
    </w:lvl>
    <w:lvl w:ilvl="1" w:tplc="040C0019" w:tentative="1">
      <w:start w:val="1"/>
      <w:numFmt w:val="lowerLetter"/>
      <w:lvlText w:val="%2."/>
      <w:lvlJc w:val="left"/>
      <w:pPr>
        <w:ind w:left="1497" w:hanging="360"/>
      </w:pPr>
    </w:lvl>
    <w:lvl w:ilvl="2" w:tplc="040C001B" w:tentative="1">
      <w:start w:val="1"/>
      <w:numFmt w:val="lowerRoman"/>
      <w:lvlText w:val="%3."/>
      <w:lvlJc w:val="right"/>
      <w:pPr>
        <w:ind w:left="2217" w:hanging="180"/>
      </w:pPr>
    </w:lvl>
    <w:lvl w:ilvl="3" w:tplc="040C000F" w:tentative="1">
      <w:start w:val="1"/>
      <w:numFmt w:val="decimal"/>
      <w:lvlText w:val="%4."/>
      <w:lvlJc w:val="left"/>
      <w:pPr>
        <w:ind w:left="2937" w:hanging="360"/>
      </w:pPr>
    </w:lvl>
    <w:lvl w:ilvl="4" w:tplc="040C0019" w:tentative="1">
      <w:start w:val="1"/>
      <w:numFmt w:val="lowerLetter"/>
      <w:lvlText w:val="%5."/>
      <w:lvlJc w:val="left"/>
      <w:pPr>
        <w:ind w:left="3657" w:hanging="360"/>
      </w:pPr>
    </w:lvl>
    <w:lvl w:ilvl="5" w:tplc="040C001B" w:tentative="1">
      <w:start w:val="1"/>
      <w:numFmt w:val="lowerRoman"/>
      <w:lvlText w:val="%6."/>
      <w:lvlJc w:val="right"/>
      <w:pPr>
        <w:ind w:left="4377" w:hanging="180"/>
      </w:pPr>
    </w:lvl>
    <w:lvl w:ilvl="6" w:tplc="040C000F" w:tentative="1">
      <w:start w:val="1"/>
      <w:numFmt w:val="decimal"/>
      <w:lvlText w:val="%7."/>
      <w:lvlJc w:val="left"/>
      <w:pPr>
        <w:ind w:left="5097" w:hanging="360"/>
      </w:pPr>
    </w:lvl>
    <w:lvl w:ilvl="7" w:tplc="040C0019" w:tentative="1">
      <w:start w:val="1"/>
      <w:numFmt w:val="lowerLetter"/>
      <w:lvlText w:val="%8."/>
      <w:lvlJc w:val="left"/>
      <w:pPr>
        <w:ind w:left="5817" w:hanging="360"/>
      </w:pPr>
    </w:lvl>
    <w:lvl w:ilvl="8" w:tplc="040C001B" w:tentative="1">
      <w:start w:val="1"/>
      <w:numFmt w:val="lowerRoman"/>
      <w:lvlText w:val="%9."/>
      <w:lvlJc w:val="right"/>
      <w:pPr>
        <w:ind w:left="6537" w:hanging="180"/>
      </w:pPr>
    </w:lvl>
  </w:abstractNum>
  <w:abstractNum w:abstractNumId="1" w15:restartNumberingAfterBreak="0">
    <w:nsid w:val="0FB0759F"/>
    <w:multiLevelType w:val="hybridMultilevel"/>
    <w:tmpl w:val="EA80F146"/>
    <w:lvl w:ilvl="0" w:tplc="93B86D1A">
      <w:numFmt w:val="bullet"/>
      <w:lvlText w:val=""/>
      <w:lvlJc w:val="left"/>
      <w:pPr>
        <w:ind w:left="502" w:hanging="360"/>
      </w:pPr>
      <w:rPr>
        <w:rFonts w:ascii="Wingdings" w:eastAsia="Arial" w:hAnsi="Wingdings"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 w15:restartNumberingAfterBreak="0">
    <w:nsid w:val="166B34B9"/>
    <w:multiLevelType w:val="hybridMultilevel"/>
    <w:tmpl w:val="30FA76E6"/>
    <w:lvl w:ilvl="0" w:tplc="C54A49A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2039E5"/>
    <w:multiLevelType w:val="hybridMultilevel"/>
    <w:tmpl w:val="163439B2"/>
    <w:lvl w:ilvl="0" w:tplc="3A8A0D7E">
      <w:numFmt w:val="bullet"/>
      <w:lvlText w:val="-"/>
      <w:lvlJc w:val="left"/>
      <w:pPr>
        <w:ind w:left="502" w:hanging="360"/>
      </w:pPr>
      <w:rPr>
        <w:rFonts w:ascii="Arial" w:eastAsia="Arial" w:hAnsi="Arial"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4" w15:restartNumberingAfterBreak="0">
    <w:nsid w:val="2FF34262"/>
    <w:multiLevelType w:val="hybridMultilevel"/>
    <w:tmpl w:val="B13CB91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2D144E6"/>
    <w:multiLevelType w:val="hybridMultilevel"/>
    <w:tmpl w:val="B13CB91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BEF1068"/>
    <w:multiLevelType w:val="hybridMultilevel"/>
    <w:tmpl w:val="357A05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E87450C"/>
    <w:multiLevelType w:val="hybridMultilevel"/>
    <w:tmpl w:val="5FC45848"/>
    <w:lvl w:ilvl="0" w:tplc="A1522E04">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E9E5800"/>
    <w:multiLevelType w:val="hybridMultilevel"/>
    <w:tmpl w:val="259E8A8A"/>
    <w:lvl w:ilvl="0" w:tplc="60B681C0">
      <w:numFmt w:val="bullet"/>
      <w:lvlText w:val="-"/>
      <w:lvlJc w:val="left"/>
      <w:pPr>
        <w:ind w:left="502" w:hanging="360"/>
      </w:pPr>
      <w:rPr>
        <w:rFonts w:ascii="Arial" w:eastAsia="Arial" w:hAnsi="Arial"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9" w15:restartNumberingAfterBreak="0">
    <w:nsid w:val="51DA6A89"/>
    <w:multiLevelType w:val="hybridMultilevel"/>
    <w:tmpl w:val="851AA736"/>
    <w:lvl w:ilvl="0" w:tplc="724A04CA">
      <w:start w:val="1"/>
      <w:numFmt w:val="decimal"/>
      <w:lvlText w:val="%1."/>
      <w:lvlJc w:val="left"/>
      <w:pPr>
        <w:ind w:left="502" w:hanging="360"/>
      </w:pPr>
    </w:lvl>
    <w:lvl w:ilvl="1" w:tplc="040C0019" w:tentative="1">
      <w:start w:val="1"/>
      <w:numFmt w:val="lowerLetter"/>
      <w:lvlText w:val="%2."/>
      <w:lvlJc w:val="left"/>
      <w:pPr>
        <w:ind w:left="9532" w:hanging="360"/>
      </w:pPr>
    </w:lvl>
    <w:lvl w:ilvl="2" w:tplc="040C001B" w:tentative="1">
      <w:start w:val="1"/>
      <w:numFmt w:val="lowerRoman"/>
      <w:lvlText w:val="%3."/>
      <w:lvlJc w:val="right"/>
      <w:pPr>
        <w:ind w:left="10252" w:hanging="180"/>
      </w:pPr>
    </w:lvl>
    <w:lvl w:ilvl="3" w:tplc="040C000F" w:tentative="1">
      <w:start w:val="1"/>
      <w:numFmt w:val="decimal"/>
      <w:lvlText w:val="%4."/>
      <w:lvlJc w:val="left"/>
      <w:pPr>
        <w:ind w:left="10972" w:hanging="360"/>
      </w:pPr>
    </w:lvl>
    <w:lvl w:ilvl="4" w:tplc="040C0019" w:tentative="1">
      <w:start w:val="1"/>
      <w:numFmt w:val="lowerLetter"/>
      <w:lvlText w:val="%5."/>
      <w:lvlJc w:val="left"/>
      <w:pPr>
        <w:ind w:left="11692" w:hanging="360"/>
      </w:pPr>
    </w:lvl>
    <w:lvl w:ilvl="5" w:tplc="040C001B" w:tentative="1">
      <w:start w:val="1"/>
      <w:numFmt w:val="lowerRoman"/>
      <w:lvlText w:val="%6."/>
      <w:lvlJc w:val="right"/>
      <w:pPr>
        <w:ind w:left="12412" w:hanging="180"/>
      </w:pPr>
    </w:lvl>
    <w:lvl w:ilvl="6" w:tplc="040C000F" w:tentative="1">
      <w:start w:val="1"/>
      <w:numFmt w:val="decimal"/>
      <w:lvlText w:val="%7."/>
      <w:lvlJc w:val="left"/>
      <w:pPr>
        <w:ind w:left="13132" w:hanging="360"/>
      </w:pPr>
    </w:lvl>
    <w:lvl w:ilvl="7" w:tplc="040C0019" w:tentative="1">
      <w:start w:val="1"/>
      <w:numFmt w:val="lowerLetter"/>
      <w:lvlText w:val="%8."/>
      <w:lvlJc w:val="left"/>
      <w:pPr>
        <w:ind w:left="13852" w:hanging="360"/>
      </w:pPr>
    </w:lvl>
    <w:lvl w:ilvl="8" w:tplc="040C001B" w:tentative="1">
      <w:start w:val="1"/>
      <w:numFmt w:val="lowerRoman"/>
      <w:lvlText w:val="%9."/>
      <w:lvlJc w:val="right"/>
      <w:pPr>
        <w:ind w:left="14572" w:hanging="180"/>
      </w:pPr>
    </w:lvl>
  </w:abstractNum>
  <w:abstractNum w:abstractNumId="10" w15:restartNumberingAfterBreak="0">
    <w:nsid w:val="58F7381C"/>
    <w:multiLevelType w:val="hybridMultilevel"/>
    <w:tmpl w:val="A61E6118"/>
    <w:lvl w:ilvl="0" w:tplc="93F80192">
      <w:start w:val="2"/>
      <w:numFmt w:val="bullet"/>
      <w:lvlText w:val="-"/>
      <w:lvlJc w:val="left"/>
      <w:pPr>
        <w:ind w:left="502" w:hanging="360"/>
      </w:pPr>
      <w:rPr>
        <w:rFonts w:ascii="Arial" w:eastAsia="Arial" w:hAnsi="Arial"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1" w15:restartNumberingAfterBreak="0">
    <w:nsid w:val="76892F40"/>
    <w:multiLevelType w:val="hybridMultilevel"/>
    <w:tmpl w:val="AE4076D8"/>
    <w:lvl w:ilvl="0" w:tplc="040C000F">
      <w:start w:val="1"/>
      <w:numFmt w:val="decimal"/>
      <w:lvlText w:val="%1."/>
      <w:lvlJc w:val="left"/>
      <w:pPr>
        <w:ind w:left="823" w:hanging="360"/>
      </w:pPr>
    </w:lvl>
    <w:lvl w:ilvl="1" w:tplc="040C0019" w:tentative="1">
      <w:start w:val="1"/>
      <w:numFmt w:val="lowerLetter"/>
      <w:lvlText w:val="%2."/>
      <w:lvlJc w:val="left"/>
      <w:pPr>
        <w:ind w:left="1543" w:hanging="360"/>
      </w:pPr>
    </w:lvl>
    <w:lvl w:ilvl="2" w:tplc="040C001B" w:tentative="1">
      <w:start w:val="1"/>
      <w:numFmt w:val="lowerRoman"/>
      <w:lvlText w:val="%3."/>
      <w:lvlJc w:val="right"/>
      <w:pPr>
        <w:ind w:left="2263" w:hanging="180"/>
      </w:pPr>
    </w:lvl>
    <w:lvl w:ilvl="3" w:tplc="040C000F" w:tentative="1">
      <w:start w:val="1"/>
      <w:numFmt w:val="decimal"/>
      <w:lvlText w:val="%4."/>
      <w:lvlJc w:val="left"/>
      <w:pPr>
        <w:ind w:left="2983" w:hanging="360"/>
      </w:pPr>
    </w:lvl>
    <w:lvl w:ilvl="4" w:tplc="040C0019" w:tentative="1">
      <w:start w:val="1"/>
      <w:numFmt w:val="lowerLetter"/>
      <w:lvlText w:val="%5."/>
      <w:lvlJc w:val="left"/>
      <w:pPr>
        <w:ind w:left="3703" w:hanging="360"/>
      </w:pPr>
    </w:lvl>
    <w:lvl w:ilvl="5" w:tplc="040C001B" w:tentative="1">
      <w:start w:val="1"/>
      <w:numFmt w:val="lowerRoman"/>
      <w:lvlText w:val="%6."/>
      <w:lvlJc w:val="right"/>
      <w:pPr>
        <w:ind w:left="4423" w:hanging="180"/>
      </w:pPr>
    </w:lvl>
    <w:lvl w:ilvl="6" w:tplc="040C000F" w:tentative="1">
      <w:start w:val="1"/>
      <w:numFmt w:val="decimal"/>
      <w:lvlText w:val="%7."/>
      <w:lvlJc w:val="left"/>
      <w:pPr>
        <w:ind w:left="5143" w:hanging="360"/>
      </w:pPr>
    </w:lvl>
    <w:lvl w:ilvl="7" w:tplc="040C0019" w:tentative="1">
      <w:start w:val="1"/>
      <w:numFmt w:val="lowerLetter"/>
      <w:lvlText w:val="%8."/>
      <w:lvlJc w:val="left"/>
      <w:pPr>
        <w:ind w:left="5863" w:hanging="360"/>
      </w:pPr>
    </w:lvl>
    <w:lvl w:ilvl="8" w:tplc="040C001B" w:tentative="1">
      <w:start w:val="1"/>
      <w:numFmt w:val="lowerRoman"/>
      <w:lvlText w:val="%9."/>
      <w:lvlJc w:val="right"/>
      <w:pPr>
        <w:ind w:left="6583" w:hanging="180"/>
      </w:pPr>
    </w:lvl>
  </w:abstractNum>
  <w:abstractNum w:abstractNumId="12" w15:restartNumberingAfterBreak="0">
    <w:nsid w:val="79685322"/>
    <w:multiLevelType w:val="hybridMultilevel"/>
    <w:tmpl w:val="D76E4DF8"/>
    <w:lvl w:ilvl="0" w:tplc="B2D2CD92">
      <w:numFmt w:val="bullet"/>
      <w:lvlText w:val="-"/>
      <w:lvlJc w:val="left"/>
      <w:pPr>
        <w:ind w:left="502" w:hanging="360"/>
      </w:pPr>
      <w:rPr>
        <w:rFonts w:ascii="Arial" w:eastAsia="Arial" w:hAnsi="Arial"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3" w15:restartNumberingAfterBreak="0">
    <w:nsid w:val="7ECC233F"/>
    <w:multiLevelType w:val="hybridMultilevel"/>
    <w:tmpl w:val="AC3CE94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7"/>
  </w:num>
  <w:num w:numId="2">
    <w:abstractNumId w:val="11"/>
  </w:num>
  <w:num w:numId="3">
    <w:abstractNumId w:val="0"/>
  </w:num>
  <w:num w:numId="4">
    <w:abstractNumId w:val="9"/>
  </w:num>
  <w:num w:numId="5">
    <w:abstractNumId w:val="1"/>
  </w:num>
  <w:num w:numId="6">
    <w:abstractNumId w:val="12"/>
  </w:num>
  <w:num w:numId="7">
    <w:abstractNumId w:val="3"/>
  </w:num>
  <w:num w:numId="8">
    <w:abstractNumId w:val="8"/>
  </w:num>
  <w:num w:numId="9">
    <w:abstractNumId w:val="6"/>
  </w:num>
  <w:num w:numId="10">
    <w:abstractNumId w:val="2"/>
  </w:num>
  <w:num w:numId="11">
    <w:abstractNumId w:val="5"/>
  </w:num>
  <w:num w:numId="12">
    <w:abstractNumId w:val="4"/>
  </w:num>
  <w:num w:numId="13">
    <w:abstractNumId w:val="9"/>
  </w:num>
  <w:num w:numId="14">
    <w:abstractNumId w:val="9"/>
  </w:num>
  <w:num w:numId="15">
    <w:abstractNumId w:val="9"/>
  </w:num>
  <w:num w:numId="16">
    <w:abstractNumId w:val="9"/>
  </w:num>
  <w:num w:numId="17">
    <w:abstractNumId w:val="9"/>
  </w:num>
  <w:num w:numId="18">
    <w:abstractNumId w:val="1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5DB"/>
    <w:rsid w:val="000007F0"/>
    <w:rsid w:val="00025BD5"/>
    <w:rsid w:val="00042C69"/>
    <w:rsid w:val="00051AE2"/>
    <w:rsid w:val="0006241D"/>
    <w:rsid w:val="000841FC"/>
    <w:rsid w:val="000937AF"/>
    <w:rsid w:val="000B0EDC"/>
    <w:rsid w:val="000E0EE3"/>
    <w:rsid w:val="000E37E3"/>
    <w:rsid w:val="000E482B"/>
    <w:rsid w:val="000F33C0"/>
    <w:rsid w:val="00100E1F"/>
    <w:rsid w:val="00104945"/>
    <w:rsid w:val="00117001"/>
    <w:rsid w:val="0011777E"/>
    <w:rsid w:val="001250B6"/>
    <w:rsid w:val="00132E77"/>
    <w:rsid w:val="0013490F"/>
    <w:rsid w:val="00176775"/>
    <w:rsid w:val="001965FC"/>
    <w:rsid w:val="001A7F3D"/>
    <w:rsid w:val="001B69F9"/>
    <w:rsid w:val="0021010B"/>
    <w:rsid w:val="00223F8C"/>
    <w:rsid w:val="00242B1E"/>
    <w:rsid w:val="00266D1E"/>
    <w:rsid w:val="00272317"/>
    <w:rsid w:val="002A0E69"/>
    <w:rsid w:val="002C65B9"/>
    <w:rsid w:val="002C7281"/>
    <w:rsid w:val="00330F0E"/>
    <w:rsid w:val="0035268C"/>
    <w:rsid w:val="0036200D"/>
    <w:rsid w:val="0038355B"/>
    <w:rsid w:val="00394336"/>
    <w:rsid w:val="003A083F"/>
    <w:rsid w:val="003B34EA"/>
    <w:rsid w:val="003D3D5F"/>
    <w:rsid w:val="003F2289"/>
    <w:rsid w:val="004013F0"/>
    <w:rsid w:val="00435AEB"/>
    <w:rsid w:val="004458FC"/>
    <w:rsid w:val="00461146"/>
    <w:rsid w:val="00465A92"/>
    <w:rsid w:val="00497F2C"/>
    <w:rsid w:val="004D070A"/>
    <w:rsid w:val="004F0A61"/>
    <w:rsid w:val="004F4D44"/>
    <w:rsid w:val="00514648"/>
    <w:rsid w:val="00514F95"/>
    <w:rsid w:val="0055390D"/>
    <w:rsid w:val="0055754D"/>
    <w:rsid w:val="00557E8F"/>
    <w:rsid w:val="005610C8"/>
    <w:rsid w:val="0058202C"/>
    <w:rsid w:val="005A5150"/>
    <w:rsid w:val="005B1AC8"/>
    <w:rsid w:val="005B1F39"/>
    <w:rsid w:val="005C5779"/>
    <w:rsid w:val="005E5923"/>
    <w:rsid w:val="005F2970"/>
    <w:rsid w:val="00603D48"/>
    <w:rsid w:val="006067B3"/>
    <w:rsid w:val="0063403D"/>
    <w:rsid w:val="006371B2"/>
    <w:rsid w:val="006379CF"/>
    <w:rsid w:val="00663EBA"/>
    <w:rsid w:val="00665D37"/>
    <w:rsid w:val="00695252"/>
    <w:rsid w:val="006A27E4"/>
    <w:rsid w:val="006A7971"/>
    <w:rsid w:val="006B3382"/>
    <w:rsid w:val="006C1F87"/>
    <w:rsid w:val="006C79D8"/>
    <w:rsid w:val="006F0A53"/>
    <w:rsid w:val="0071677E"/>
    <w:rsid w:val="0072685F"/>
    <w:rsid w:val="007366E2"/>
    <w:rsid w:val="0074311A"/>
    <w:rsid w:val="00773384"/>
    <w:rsid w:val="00774683"/>
    <w:rsid w:val="0077471A"/>
    <w:rsid w:val="00782321"/>
    <w:rsid w:val="007A0DFE"/>
    <w:rsid w:val="007B3AC6"/>
    <w:rsid w:val="007B426E"/>
    <w:rsid w:val="007B624F"/>
    <w:rsid w:val="007B65DB"/>
    <w:rsid w:val="007E14CE"/>
    <w:rsid w:val="007E5514"/>
    <w:rsid w:val="00815C42"/>
    <w:rsid w:val="00822CD0"/>
    <w:rsid w:val="00825613"/>
    <w:rsid w:val="00847379"/>
    <w:rsid w:val="00850116"/>
    <w:rsid w:val="0085433B"/>
    <w:rsid w:val="008554C6"/>
    <w:rsid w:val="00863B05"/>
    <w:rsid w:val="00892683"/>
    <w:rsid w:val="008B6D70"/>
    <w:rsid w:val="008D25B1"/>
    <w:rsid w:val="008E66FF"/>
    <w:rsid w:val="00906DF4"/>
    <w:rsid w:val="00913E88"/>
    <w:rsid w:val="00937746"/>
    <w:rsid w:val="00941A1D"/>
    <w:rsid w:val="00967DE2"/>
    <w:rsid w:val="00975448"/>
    <w:rsid w:val="009D6D0E"/>
    <w:rsid w:val="009F1A7A"/>
    <w:rsid w:val="009F2920"/>
    <w:rsid w:val="00A21515"/>
    <w:rsid w:val="00A26D9F"/>
    <w:rsid w:val="00A42673"/>
    <w:rsid w:val="00A539D4"/>
    <w:rsid w:val="00A6081D"/>
    <w:rsid w:val="00AA62A9"/>
    <w:rsid w:val="00AD1589"/>
    <w:rsid w:val="00AF4754"/>
    <w:rsid w:val="00B02FCE"/>
    <w:rsid w:val="00B07188"/>
    <w:rsid w:val="00B1715C"/>
    <w:rsid w:val="00B37B97"/>
    <w:rsid w:val="00B42A9C"/>
    <w:rsid w:val="00B73E82"/>
    <w:rsid w:val="00B948B9"/>
    <w:rsid w:val="00BC0BFF"/>
    <w:rsid w:val="00BC33CE"/>
    <w:rsid w:val="00BD0DF0"/>
    <w:rsid w:val="00C034AF"/>
    <w:rsid w:val="00C03627"/>
    <w:rsid w:val="00C15EE5"/>
    <w:rsid w:val="00C35D84"/>
    <w:rsid w:val="00C6429B"/>
    <w:rsid w:val="00C7210C"/>
    <w:rsid w:val="00CA330A"/>
    <w:rsid w:val="00CF13E1"/>
    <w:rsid w:val="00D12654"/>
    <w:rsid w:val="00D13008"/>
    <w:rsid w:val="00D50C1C"/>
    <w:rsid w:val="00D605D2"/>
    <w:rsid w:val="00DC2426"/>
    <w:rsid w:val="00DD5C00"/>
    <w:rsid w:val="00E155B7"/>
    <w:rsid w:val="00E251ED"/>
    <w:rsid w:val="00E267C4"/>
    <w:rsid w:val="00E35286"/>
    <w:rsid w:val="00E41D0A"/>
    <w:rsid w:val="00E66230"/>
    <w:rsid w:val="00EA52F1"/>
    <w:rsid w:val="00EC0AEC"/>
    <w:rsid w:val="00EC4130"/>
    <w:rsid w:val="00EC5A72"/>
    <w:rsid w:val="00EE0E20"/>
    <w:rsid w:val="00EE5CF4"/>
    <w:rsid w:val="00F007FF"/>
    <w:rsid w:val="00F176D3"/>
    <w:rsid w:val="00F26B43"/>
    <w:rsid w:val="00F27122"/>
    <w:rsid w:val="00F3290B"/>
    <w:rsid w:val="00F3598A"/>
    <w:rsid w:val="00F44B55"/>
    <w:rsid w:val="00F515DB"/>
    <w:rsid w:val="00F56E2C"/>
    <w:rsid w:val="00F57B7A"/>
    <w:rsid w:val="00F604A1"/>
    <w:rsid w:val="00F70C29"/>
    <w:rsid w:val="00F94E85"/>
    <w:rsid w:val="00FB0B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502001-426C-401B-BE13-EAD49206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26D9F"/>
    <w:pPr>
      <w:spacing w:line="280" w:lineRule="exact"/>
      <w:ind w:left="142"/>
    </w:pPr>
    <w:rPr>
      <w:rFonts w:ascii="Arial" w:eastAsia="Arial" w:hAnsi="Arial" w:cs="Arial"/>
      <w:sz w:val="20"/>
      <w:lang w:val="fr-FR"/>
    </w:rPr>
  </w:style>
  <w:style w:type="paragraph" w:styleId="Titre1">
    <w:name w:val="heading 1"/>
    <w:basedOn w:val="Normal"/>
    <w:next w:val="Normal"/>
    <w:link w:val="Titre1Car"/>
    <w:autoRedefine/>
    <w:uiPriority w:val="9"/>
    <w:qFormat/>
    <w:rsid w:val="00B73E82"/>
    <w:pPr>
      <w:spacing w:before="120"/>
      <w:ind w:left="502" w:hanging="360"/>
      <w:outlineLvl w:val="0"/>
    </w:pPr>
    <w:rPr>
      <w:b/>
      <w:color w:val="231F20"/>
      <w:sz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Cs w:val="20"/>
    </w:rPr>
  </w:style>
  <w:style w:type="paragraph" w:styleId="Titre">
    <w:name w:val="Title"/>
    <w:basedOn w:val="Normal"/>
    <w:uiPriority w:val="1"/>
    <w:qFormat/>
    <w:rsid w:val="00F44B55"/>
    <w:pPr>
      <w:spacing w:before="88"/>
      <w:ind w:left="6649"/>
    </w:pPr>
    <w:rPr>
      <w:b/>
      <w:bCs/>
      <w:color w:val="231F20"/>
      <w:sz w:val="36"/>
      <w:szCs w:val="36"/>
    </w:rPr>
  </w:style>
  <w:style w:type="paragraph" w:styleId="Paragraphedeliste">
    <w:name w:val="List Paragraph"/>
    <w:basedOn w:val="Normal"/>
    <w:uiPriority w:val="99"/>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330F0E"/>
    <w:pPr>
      <w:tabs>
        <w:tab w:val="center" w:pos="4536"/>
        <w:tab w:val="right" w:pos="9072"/>
      </w:tabs>
    </w:pPr>
  </w:style>
  <w:style w:type="character" w:customStyle="1" w:styleId="En-tteCar">
    <w:name w:val="En-tête Car"/>
    <w:basedOn w:val="Policepardfaut"/>
    <w:link w:val="En-tte"/>
    <w:uiPriority w:val="99"/>
    <w:rsid w:val="00330F0E"/>
    <w:rPr>
      <w:rFonts w:ascii="Arial" w:eastAsia="Arial" w:hAnsi="Arial" w:cs="Arial"/>
      <w:lang w:val="fr-FR"/>
    </w:rPr>
  </w:style>
  <w:style w:type="paragraph" w:styleId="Pieddepage">
    <w:name w:val="footer"/>
    <w:basedOn w:val="Normal"/>
    <w:link w:val="PieddepageCar"/>
    <w:uiPriority w:val="99"/>
    <w:unhideWhenUsed/>
    <w:rsid w:val="00330F0E"/>
    <w:pPr>
      <w:tabs>
        <w:tab w:val="center" w:pos="4536"/>
        <w:tab w:val="right" w:pos="9072"/>
      </w:tabs>
    </w:pPr>
  </w:style>
  <w:style w:type="character" w:customStyle="1" w:styleId="PieddepageCar">
    <w:name w:val="Pied de page Car"/>
    <w:basedOn w:val="Policepardfaut"/>
    <w:link w:val="Pieddepage"/>
    <w:uiPriority w:val="99"/>
    <w:rsid w:val="00330F0E"/>
    <w:rPr>
      <w:rFonts w:ascii="Arial" w:eastAsia="Arial" w:hAnsi="Arial" w:cs="Arial"/>
      <w:lang w:val="fr-FR"/>
    </w:rPr>
  </w:style>
  <w:style w:type="character" w:customStyle="1" w:styleId="Titre1Car">
    <w:name w:val="Titre 1 Car"/>
    <w:basedOn w:val="Policepardfaut"/>
    <w:link w:val="Titre1"/>
    <w:uiPriority w:val="9"/>
    <w:rsid w:val="00B73E82"/>
    <w:rPr>
      <w:rFonts w:ascii="Arial" w:eastAsia="Arial" w:hAnsi="Arial" w:cs="Arial"/>
      <w:b/>
      <w:color w:val="231F20"/>
      <w:sz w:val="24"/>
      <w:u w:val="single"/>
      <w:lang w:val="fr-FR"/>
    </w:rPr>
  </w:style>
  <w:style w:type="paragraph" w:styleId="Sansinterligne">
    <w:name w:val="No Spacing"/>
    <w:uiPriority w:val="1"/>
    <w:qFormat/>
    <w:rsid w:val="000841FC"/>
    <w:pPr>
      <w:ind w:left="142"/>
    </w:pPr>
    <w:rPr>
      <w:rFonts w:ascii="Arial" w:eastAsia="Arial" w:hAnsi="Arial" w:cs="Arial"/>
      <w:sz w:val="20"/>
      <w:lang w:val="fr-FR"/>
    </w:rPr>
  </w:style>
  <w:style w:type="table" w:styleId="Grilledutableau">
    <w:name w:val="Table Grid"/>
    <w:basedOn w:val="TableauNormal"/>
    <w:uiPriority w:val="39"/>
    <w:rsid w:val="00D60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202486">
      <w:bodyDiv w:val="1"/>
      <w:marLeft w:val="0"/>
      <w:marRight w:val="0"/>
      <w:marTop w:val="0"/>
      <w:marBottom w:val="0"/>
      <w:divBdr>
        <w:top w:val="none" w:sz="0" w:space="0" w:color="auto"/>
        <w:left w:val="none" w:sz="0" w:space="0" w:color="auto"/>
        <w:bottom w:val="none" w:sz="0" w:space="0" w:color="auto"/>
        <w:right w:val="none" w:sz="0" w:space="0" w:color="auto"/>
      </w:divBdr>
    </w:div>
    <w:div w:id="657880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3.tmp"/></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package" Target="../embeddings/Feuille_de_calcul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Feuille_de_calcul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Feuille_de_calcul_Microsoft_Excel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Feuille_de_calcul_Microsoft_Excel4.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fr-FR" sz="1800">
                <a:latin typeface="Arial" panose="020B0604020202020204" pitchFamily="34" charset="0"/>
                <a:cs typeface="Arial" panose="020B0604020202020204" pitchFamily="34" charset="0"/>
              </a:rPr>
              <a:t>Répartition des principales</a:t>
            </a:r>
            <a:r>
              <a:rPr lang="fr-FR" sz="1800" baseline="0">
                <a:latin typeface="Arial" panose="020B0604020202020204" pitchFamily="34" charset="0"/>
                <a:cs typeface="Arial" panose="020B0604020202020204" pitchFamily="34" charset="0"/>
              </a:rPr>
              <a:t> </a:t>
            </a:r>
            <a:r>
              <a:rPr lang="fr-FR" sz="1800">
                <a:latin typeface="Arial" panose="020B0604020202020204" pitchFamily="34" charset="0"/>
                <a:cs typeface="Arial" panose="020B0604020202020204" pitchFamily="34" charset="0"/>
              </a:rPr>
              <a:t>dépenses réelles</a:t>
            </a:r>
            <a:r>
              <a:rPr lang="fr-FR" sz="1800" baseline="0">
                <a:latin typeface="Arial" panose="020B0604020202020204" pitchFamily="34" charset="0"/>
                <a:cs typeface="Arial" panose="020B0604020202020204" pitchFamily="34" charset="0"/>
              </a:rPr>
              <a:t> de fonctionnement</a:t>
            </a:r>
            <a:endParaRPr lang="fr-FR" sz="180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fr-FR"/>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Pt>
            <c:idx val="5"/>
            <c:bubble3D val="0"/>
            <c:spPr>
              <a:solidFill>
                <a:schemeClr val="accent6"/>
              </a:solidFill>
              <a:ln>
                <a:noFill/>
              </a:ln>
              <a:effectLst>
                <a:outerShdw blurRad="254000" sx="102000" sy="102000" algn="ctr" rotWithShape="0">
                  <a:prstClr val="black">
                    <a:alpha val="20000"/>
                  </a:prstClr>
                </a:outerShdw>
              </a:effectLst>
            </c:spPr>
          </c:dPt>
          <c:dPt>
            <c:idx val="6"/>
            <c:bubble3D val="0"/>
            <c:spPr>
              <a:solidFill>
                <a:schemeClr val="accent1">
                  <a:lumMod val="60000"/>
                </a:schemeClr>
              </a:solidFill>
              <a:ln>
                <a:noFill/>
              </a:ln>
              <a:effectLst>
                <a:outerShdw blurRad="254000" sx="102000" sy="102000" algn="ctr" rotWithShape="0">
                  <a:prstClr val="black">
                    <a:alpha val="20000"/>
                  </a:prstClr>
                </a:outerShdw>
              </a:effectLst>
            </c:spPr>
          </c:dPt>
          <c:dLbls>
            <c:dLbl>
              <c:idx val="0"/>
              <c:layout>
                <c:manualLayout>
                  <c:x val="-6.0170791151106066E-2"/>
                  <c:y val="0.14514851802061327"/>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2"/>
              <c:layout>
                <c:manualLayout>
                  <c:x val="7.1690476190476193E-2"/>
                  <c:y val="9.8799692721336669E-3"/>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3"/>
              <c:layout>
                <c:manualLayout>
                  <c:x val="6.7901199850018704E-2"/>
                  <c:y val="8.4962550412905707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4"/>
              <c:layout>
                <c:manualLayout>
                  <c:x val="3.3588301462317213E-2"/>
                  <c:y val="0.11678989821394277"/>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5"/>
              <c:layout>
                <c:manualLayout>
                  <c:x val="1.0443007124109486E-2"/>
                  <c:y val="4.2810959605659067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6"/>
              <c:layout>
                <c:manualLayout>
                  <c:x val="2.382453658136479E-2"/>
                  <c:y val="9.8877966687285143E-2"/>
                </c:manualLayout>
              </c:layout>
              <c:dLblPos val="bestFit"/>
              <c:showLegendKey val="0"/>
              <c:showVal val="0"/>
              <c:showCatName val="0"/>
              <c:showSerName val="0"/>
              <c:showPercent val="1"/>
              <c:showBubbleSize val="0"/>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Arial" panose="020B0604020202020204" pitchFamily="34" charset="0"/>
                    <a:ea typeface="+mn-ea"/>
                    <a:cs typeface="Arial" panose="020B0604020202020204" pitchFamily="34" charset="0"/>
                  </a:defRP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DF!$B$25:$B$31</c:f>
              <c:strCache>
                <c:ptCount val="7"/>
                <c:pt idx="0">
                  <c:v>Charges à caractère général</c:v>
                </c:pt>
                <c:pt idx="1">
                  <c:v>Charges de personnel</c:v>
                </c:pt>
                <c:pt idx="2">
                  <c:v>Prélèvements : Fonds de péréquation (FPIC), Prélèvement "amendes de police", DILICO</c:v>
                </c:pt>
                <c:pt idx="3">
                  <c:v>Contribution au Territoire Grand Orly Seine Bièvre</c:v>
                </c:pt>
                <c:pt idx="4">
                  <c:v>Subventions (CCAS, marché forain, associations)</c:v>
                </c:pt>
                <c:pt idx="5">
                  <c:v>Remboursement des intérêts de la dette</c:v>
                </c:pt>
                <c:pt idx="6">
                  <c:v>Autres charges</c:v>
                </c:pt>
              </c:strCache>
            </c:strRef>
          </c:cat>
          <c:val>
            <c:numRef>
              <c:f>DF!$D$25:$D$31</c:f>
              <c:numCache>
                <c:formatCode>"€"#,##0_);[Red]\("€"#,##0\)</c:formatCode>
                <c:ptCount val="7"/>
                <c:pt idx="0">
                  <c:v>8633631</c:v>
                </c:pt>
                <c:pt idx="1">
                  <c:v>28500000.000000007</c:v>
                </c:pt>
                <c:pt idx="2">
                  <c:v>810000</c:v>
                </c:pt>
                <c:pt idx="3">
                  <c:v>7402533</c:v>
                </c:pt>
                <c:pt idx="4">
                  <c:v>1427900</c:v>
                </c:pt>
                <c:pt idx="5">
                  <c:v>655022</c:v>
                </c:pt>
                <c:pt idx="6">
                  <c:v>1559571.1999999993</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8344579397210972"/>
          <c:y val="0.20312152703884986"/>
          <c:w val="0.39401456918281513"/>
          <c:h val="0.77728940884577613"/>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fr-F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fr-FR">
                <a:latin typeface="Arial" panose="020B0604020202020204" pitchFamily="34" charset="0"/>
                <a:cs typeface="Arial" panose="020B0604020202020204" pitchFamily="34" charset="0"/>
              </a:rPr>
              <a:t>Répartition des principales ressources de fonctionnement</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fr-FR"/>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Pt>
            <c:idx val="5"/>
            <c:bubble3D val="0"/>
            <c:spPr>
              <a:solidFill>
                <a:schemeClr val="accent6"/>
              </a:solidFill>
              <a:ln>
                <a:noFill/>
              </a:ln>
              <a:effectLst>
                <a:outerShdw blurRad="254000" sx="102000" sy="102000" algn="ctr" rotWithShape="0">
                  <a:prstClr val="black">
                    <a:alpha val="20000"/>
                  </a:prstClr>
                </a:outerShdw>
              </a:effectLst>
            </c:spPr>
          </c:dPt>
          <c:dPt>
            <c:idx val="6"/>
            <c:bubble3D val="0"/>
            <c:spPr>
              <a:solidFill>
                <a:schemeClr val="accent1">
                  <a:lumMod val="60000"/>
                </a:schemeClr>
              </a:solidFill>
              <a:ln>
                <a:noFill/>
              </a:ln>
              <a:effectLst>
                <a:outerShdw blurRad="254000" sx="102000" sy="102000" algn="ctr" rotWithShape="0">
                  <a:prstClr val="black">
                    <a:alpha val="20000"/>
                  </a:prstClr>
                </a:outerShdw>
              </a:effectLst>
            </c:spPr>
          </c:dPt>
          <c:dPt>
            <c:idx val="7"/>
            <c:bubble3D val="0"/>
            <c:spPr>
              <a:solidFill>
                <a:schemeClr val="accent2">
                  <a:lumMod val="60000"/>
                </a:schemeClr>
              </a:solidFill>
              <a:ln>
                <a:noFill/>
              </a:ln>
              <a:effectLst>
                <a:outerShdw blurRad="254000" sx="102000" sy="102000" algn="ctr" rotWithShape="0">
                  <a:prstClr val="black">
                    <a:alpha val="20000"/>
                  </a:prstClr>
                </a:outerShdw>
              </a:effectLst>
            </c:spPr>
          </c:dPt>
          <c:dPt>
            <c:idx val="8"/>
            <c:bubble3D val="0"/>
            <c:spPr>
              <a:solidFill>
                <a:schemeClr val="accent3">
                  <a:lumMod val="60000"/>
                </a:schemeClr>
              </a:solidFill>
              <a:ln>
                <a:noFill/>
              </a:ln>
              <a:effectLst>
                <a:outerShdw blurRad="254000" sx="102000" sy="102000" algn="ctr" rotWithShape="0">
                  <a:prstClr val="black">
                    <a:alpha val="20000"/>
                  </a:prstClr>
                </a:outerShdw>
              </a:effectLst>
            </c:spPr>
          </c:dPt>
          <c:dLbls>
            <c:dLbl>
              <c:idx val="0"/>
              <c:layout>
                <c:manualLayout>
                  <c:x val="-1.4941809599381472E-2"/>
                  <c:y val="7.8678192604739489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1"/>
              <c:layout>
                <c:manualLayout>
                  <c:x val="-4.3948842634980702E-2"/>
                  <c:y val="8.2374409213211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2"/>
              <c:layout>
                <c:manualLayout>
                  <c:x val="-0.11184306903497528"/>
                  <c:y val="-0.16795638426704751"/>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3"/>
              <c:layout>
                <c:manualLayout>
                  <c:x val="7.9929907017436769E-2"/>
                  <c:y val="1.7681429857174497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4"/>
              <c:layout>
                <c:manualLayout>
                  <c:x val="5.7066098326856413E-2"/>
                  <c:y val="6.8032721224030063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5"/>
              <c:layout>
                <c:manualLayout>
                  <c:x val="4.626713327500729E-2"/>
                  <c:y val="5.3719777397663711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6"/>
              <c:layout>
                <c:manualLayout>
                  <c:x val="4.1438957727183326E-2"/>
                  <c:y val="6.4865679940815324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7"/>
              <c:layout>
                <c:manualLayout>
                  <c:x val="1.7729421419221823E-2"/>
                  <c:y val="7.8676543349496031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8"/>
              <c:layout>
                <c:manualLayout>
                  <c:x val="3.4056304977381309E-3"/>
                  <c:y val="0.14539575057606124"/>
                </c:manualLayout>
              </c:layout>
              <c:dLblPos val="bestFit"/>
              <c:showLegendKey val="0"/>
              <c:showVal val="0"/>
              <c:showCatName val="0"/>
              <c:showSerName val="0"/>
              <c:showPercent val="1"/>
              <c:showBubbleSize val="0"/>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Arial" panose="020B0604020202020204" pitchFamily="34" charset="0"/>
                    <a:ea typeface="+mn-ea"/>
                    <a:cs typeface="Arial" panose="020B0604020202020204" pitchFamily="34" charset="0"/>
                  </a:defRP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RF!$C$33:$C$41</c:f>
              <c:strCache>
                <c:ptCount val="9"/>
                <c:pt idx="0">
                  <c:v>Reprise de l'excédent de fonctionnement</c:v>
                </c:pt>
                <c:pt idx="1">
                  <c:v>Produits des services et du domaine</c:v>
                </c:pt>
                <c:pt idx="2">
                  <c:v>Impôts locaux et compensations</c:v>
                </c:pt>
                <c:pt idx="3">
                  <c:v>Attribution de compensation de la MGP</c:v>
                </c:pt>
                <c:pt idx="4">
                  <c:v>FSRIF</c:v>
                </c:pt>
                <c:pt idx="5">
                  <c:v>Autres impôts et taxes</c:v>
                </c:pt>
                <c:pt idx="6">
                  <c:v>Dotation globale de fonctionnement</c:v>
                </c:pt>
                <c:pt idx="7">
                  <c:v>Autres dotations et participations</c:v>
                </c:pt>
                <c:pt idx="8">
                  <c:v>Autres produits</c:v>
                </c:pt>
              </c:strCache>
            </c:strRef>
          </c:cat>
          <c:val>
            <c:numRef>
              <c:f>RF!$F$33:$F$41</c:f>
              <c:numCache>
                <c:formatCode>"€"#,##0_);[Red]\("€"#,##0\)</c:formatCode>
                <c:ptCount val="9"/>
                <c:pt idx="0">
                  <c:v>2224973.86</c:v>
                </c:pt>
                <c:pt idx="1">
                  <c:v>3354914</c:v>
                </c:pt>
                <c:pt idx="2">
                  <c:v>31637398</c:v>
                </c:pt>
                <c:pt idx="3">
                  <c:v>6867569</c:v>
                </c:pt>
                <c:pt idx="4">
                  <c:v>872582</c:v>
                </c:pt>
                <c:pt idx="5">
                  <c:v>1710000</c:v>
                </c:pt>
                <c:pt idx="6">
                  <c:v>2220000</c:v>
                </c:pt>
                <c:pt idx="7">
                  <c:v>2494636.2000000002</c:v>
                </c:pt>
                <c:pt idx="8">
                  <c:v>451558</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fr-F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fr-FR">
                <a:latin typeface="Arial" panose="020B0604020202020204" pitchFamily="34" charset="0"/>
                <a:cs typeface="Arial" panose="020B0604020202020204" pitchFamily="34" charset="0"/>
              </a:rPr>
              <a:t>Répartition</a:t>
            </a:r>
            <a:r>
              <a:rPr lang="fr-FR" baseline="0">
                <a:latin typeface="Arial" panose="020B0604020202020204" pitchFamily="34" charset="0"/>
                <a:cs typeface="Arial" panose="020B0604020202020204" pitchFamily="34" charset="0"/>
              </a:rPr>
              <a:t> des principales dépenses réelles d'investissement</a:t>
            </a:r>
            <a:endParaRPr lang="fr-FR">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fr-FR"/>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Pt>
            <c:idx val="5"/>
            <c:bubble3D val="0"/>
            <c:spPr>
              <a:solidFill>
                <a:schemeClr val="accent6"/>
              </a:solidFill>
              <a:ln>
                <a:noFill/>
              </a:ln>
              <a:effectLst>
                <a:outerShdw blurRad="254000" sx="102000" sy="102000" algn="ctr" rotWithShape="0">
                  <a:prstClr val="black">
                    <a:alpha val="20000"/>
                  </a:prstClr>
                </a:outerShdw>
              </a:effectLst>
            </c:spPr>
          </c:dPt>
          <c:dLbls>
            <c:dLbl>
              <c:idx val="0"/>
              <c:layout>
                <c:manualLayout>
                  <c:x val="-9.6956747989714015E-2"/>
                  <c:y val="6.7514655180297589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1"/>
              <c:layout>
                <c:manualLayout>
                  <c:x val="-0.14795875732610125"/>
                  <c:y val="3.5648211656469773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2"/>
              <c:layout>
                <c:manualLayout>
                  <c:x val="-7.3962001131913591E-2"/>
                  <c:y val="3.2346566435293147E-3"/>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3"/>
              <c:layout>
                <c:manualLayout>
                  <c:x val="8.1478780420174961E-3"/>
                  <c:y val="-0.18672803094735119"/>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5"/>
              <c:layout>
                <c:manualLayout>
                  <c:x val="9.327650975610639E-3"/>
                  <c:y val="9.5468657869058615E-2"/>
                </c:manualLayout>
              </c:layout>
              <c:dLblPos val="bestFit"/>
              <c:showLegendKey val="0"/>
              <c:showVal val="0"/>
              <c:showCatName val="0"/>
              <c:showSerName val="0"/>
              <c:showPercent val="1"/>
              <c:showBubbleSize val="0"/>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Arial" panose="020B0604020202020204" pitchFamily="34" charset="0"/>
                    <a:ea typeface="+mn-ea"/>
                    <a:cs typeface="Arial" panose="020B0604020202020204" pitchFamily="34" charset="0"/>
                  </a:defRP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DI!$B$30:$B$35</c:f>
              <c:strCache>
                <c:ptCount val="6"/>
                <c:pt idx="0">
                  <c:v>Remboursement du capital de la dette</c:v>
                </c:pt>
                <c:pt idx="1">
                  <c:v>Subventions d’équipement versées</c:v>
                </c:pt>
                <c:pt idx="2">
                  <c:v>Immobilisations incorporelles (logiciels, études et acquisition de fonds de commerce)</c:v>
                </c:pt>
                <c:pt idx="3">
                  <c:v>Immobilisations corporelles et en cours (travaux, entretien des équipements, acquisition de mobilier et matériel)</c:v>
                </c:pt>
                <c:pt idx="4">
                  <c:v>Restes à réaliser</c:v>
                </c:pt>
                <c:pt idx="5">
                  <c:v>Autres dépenses d'investissement</c:v>
                </c:pt>
              </c:strCache>
            </c:strRef>
          </c:cat>
          <c:val>
            <c:numRef>
              <c:f>DI!$D$30:$D$35</c:f>
              <c:numCache>
                <c:formatCode>"€"#,##0_);[Red]\("€"#,##0\)</c:formatCode>
                <c:ptCount val="6"/>
                <c:pt idx="0">
                  <c:v>3108260</c:v>
                </c:pt>
                <c:pt idx="1">
                  <c:v>173038</c:v>
                </c:pt>
                <c:pt idx="2">
                  <c:v>533960</c:v>
                </c:pt>
                <c:pt idx="3">
                  <c:v>7941121.8599999994</c:v>
                </c:pt>
                <c:pt idx="4">
                  <c:v>2884965.29</c:v>
                </c:pt>
                <c:pt idx="5">
                  <c:v>249050</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4089792514253485"/>
          <c:y val="0.21570653213050353"/>
          <c:w val="0.34324536314292114"/>
          <c:h val="0.75547992248632467"/>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fr-F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r-F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fr-FR">
                <a:latin typeface="Arial" panose="020B0604020202020204" pitchFamily="34" charset="0"/>
                <a:cs typeface="Arial" panose="020B0604020202020204" pitchFamily="34" charset="0"/>
              </a:rPr>
              <a:t>Répartition des</a:t>
            </a:r>
            <a:r>
              <a:rPr lang="fr-FR" baseline="0">
                <a:latin typeface="Arial" panose="020B0604020202020204" pitchFamily="34" charset="0"/>
                <a:cs typeface="Arial" panose="020B0604020202020204" pitchFamily="34" charset="0"/>
              </a:rPr>
              <a:t> principales recettes réelles d'investissement</a:t>
            </a:r>
            <a:endParaRPr lang="fr-FR">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fr-FR"/>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Pt>
            <c:idx val="5"/>
            <c:bubble3D val="0"/>
            <c:spPr>
              <a:solidFill>
                <a:schemeClr val="accent6"/>
              </a:solidFill>
              <a:ln>
                <a:noFill/>
              </a:ln>
              <a:effectLst>
                <a:outerShdw blurRad="254000" sx="102000" sy="102000" algn="ctr" rotWithShape="0">
                  <a:prstClr val="black">
                    <a:alpha val="20000"/>
                  </a:prstClr>
                </a:outerShdw>
              </a:effectLst>
            </c:spPr>
          </c:dPt>
          <c:dPt>
            <c:idx val="6"/>
            <c:bubble3D val="0"/>
            <c:spPr>
              <a:solidFill>
                <a:schemeClr val="accent1">
                  <a:lumMod val="60000"/>
                </a:schemeClr>
              </a:solidFill>
              <a:ln>
                <a:noFill/>
              </a:ln>
              <a:effectLst>
                <a:outerShdw blurRad="254000" sx="102000" sy="102000" algn="ctr" rotWithShape="0">
                  <a:prstClr val="black">
                    <a:alpha val="20000"/>
                  </a:prstClr>
                </a:outerShdw>
              </a:effectLst>
            </c:spPr>
          </c:dPt>
          <c:dLbls>
            <c:dLbl>
              <c:idx val="0"/>
              <c:layout>
                <c:manualLayout>
                  <c:x val="-9.5917368881521387E-2"/>
                  <c:y val="8.393390930300379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1"/>
              <c:layout>
                <c:manualLayout>
                  <c:x val="-7.5407706712099579E-2"/>
                  <c:y val="-5.4999635462233884E-4"/>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2"/>
              <c:layout>
                <c:manualLayout>
                  <c:x val="-9.327504566315184E-2"/>
                  <c:y val="-3.5393199547973167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3"/>
              <c:layout>
                <c:manualLayout>
                  <c:x val="-8.6637196666206201E-2"/>
                  <c:y val="-0.11130454396325459"/>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4"/>
              <c:layout>
                <c:manualLayout>
                  <c:x val="0.10680131540574972"/>
                  <c:y val="-5.08719287693205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5"/>
              <c:layout>
                <c:manualLayout>
                  <c:x val="6.5394621724915961E-2"/>
                  <c:y val="9.8572378973461647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6"/>
              <c:layout>
                <c:manualLayout>
                  <c:x val="1.5660158708231647E-2"/>
                  <c:y val="8.8064122193059202E-2"/>
                </c:manualLayout>
              </c:layout>
              <c:dLblPos val="bestFit"/>
              <c:showLegendKey val="0"/>
              <c:showVal val="0"/>
              <c:showCatName val="0"/>
              <c:showSerName val="0"/>
              <c:showPercent val="1"/>
              <c:showBubbleSize val="0"/>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Arial" panose="020B0604020202020204" pitchFamily="34" charset="0"/>
                    <a:ea typeface="+mn-ea"/>
                    <a:cs typeface="Arial" panose="020B0604020202020204" pitchFamily="34" charset="0"/>
                  </a:defRP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IR!$B$27:$B$33</c:f>
              <c:strCache>
                <c:ptCount val="7"/>
                <c:pt idx="0">
                  <c:v>Produit des cessions</c:v>
                </c:pt>
                <c:pt idx="1">
                  <c:v>FCTVA et taxe d'aménagement</c:v>
                </c:pt>
                <c:pt idx="2">
                  <c:v>Subventions d'investissement reçues</c:v>
                </c:pt>
                <c:pt idx="3">
                  <c:v>Reprise de l'excédent antérieur</c:v>
                </c:pt>
                <c:pt idx="4">
                  <c:v>Emprunts</c:v>
                </c:pt>
                <c:pt idx="5">
                  <c:v>Restes à réaliser</c:v>
                </c:pt>
                <c:pt idx="6">
                  <c:v>Autres recettes réelles d'investissement</c:v>
                </c:pt>
              </c:strCache>
            </c:strRef>
          </c:cat>
          <c:val>
            <c:numRef>
              <c:f>IR!$D$27:$D$33</c:f>
              <c:numCache>
                <c:formatCode>"€"#,##0_);[Red]\("€"#,##0\)</c:formatCode>
                <c:ptCount val="7"/>
                <c:pt idx="0">
                  <c:v>2721751</c:v>
                </c:pt>
                <c:pt idx="1">
                  <c:v>400000</c:v>
                </c:pt>
                <c:pt idx="2">
                  <c:v>1135705</c:v>
                </c:pt>
                <c:pt idx="3">
                  <c:v>1846051.57</c:v>
                </c:pt>
                <c:pt idx="4">
                  <c:v>4500000</c:v>
                </c:pt>
                <c:pt idx="5">
                  <c:v>1500000</c:v>
                </c:pt>
                <c:pt idx="6">
                  <c:v>403000</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fr-F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0FC25-BE10-4B8B-BDF5-DF0F60990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1050</Words>
  <Characters>5780</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LUTAUD Charline</dc:creator>
  <cp:lastModifiedBy>PIARD Esteban</cp:lastModifiedBy>
  <cp:revision>2</cp:revision>
  <dcterms:created xsi:type="dcterms:W3CDTF">2025-04-19T18:08:00Z</dcterms:created>
  <dcterms:modified xsi:type="dcterms:W3CDTF">2025-04-19T18:08:00Z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2023-03-20T00:00:00Z</vt:filetime>
  </property>
  <property fmtid="{D5CDD505-2E9C-101B-9397-08002B2CF9AE}" pid="3" name="Creator">
    <vt:lpwstr>Adobe InDesign 18.1 (Windows)</vt:lpwstr>
  </property>
  <property fmtid="{D5CDD505-2E9C-101B-9397-08002B2CF9AE}" pid="4" name="LastSaved">
    <vt:filetime>2023-03-20T00:00:00Z</vt:filetime>
  </property>
  <property fmtid="{D5CDD505-2E9C-101B-9397-08002B2CF9AE}" pid="5" name="Producer">
    <vt:lpwstr>Adobe PDF Library 17.0</vt:lpwstr>
  </property>
</Properties>
</file>