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DB" w:rsidRDefault="00394336">
      <w:pPr>
        <w:pStyle w:val="Corpsdetexte"/>
        <w:rPr>
          <w:rFonts w:ascii="Times New Roman"/>
        </w:rPr>
      </w:pPr>
      <w:r>
        <w:rPr>
          <w:noProof/>
          <w:lang w:eastAsia="fr-FR"/>
        </w:rPr>
        <w:drawing>
          <wp:anchor distT="0" distB="0" distL="0" distR="0" simplePos="0" relativeHeight="15730176" behindDoc="0" locked="0" layoutInCell="1" allowOverlap="1">
            <wp:simplePos x="0" y="0"/>
            <wp:positionH relativeFrom="page">
              <wp:posOffset>0</wp:posOffset>
            </wp:positionH>
            <wp:positionV relativeFrom="page">
              <wp:posOffset>12</wp:posOffset>
            </wp:positionV>
            <wp:extent cx="2267999" cy="1902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67999" cy="1902599"/>
                    </a:xfrm>
                    <a:prstGeom prst="rect">
                      <a:avLst/>
                    </a:prstGeom>
                  </pic:spPr>
                </pic:pic>
              </a:graphicData>
            </a:graphic>
          </wp:anchor>
        </w:drawing>
      </w: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rsidP="0055390D">
      <w:pPr>
        <w:pStyle w:val="Corpsdetexte"/>
        <w:ind w:left="0"/>
        <w:rPr>
          <w:rFonts w:ascii="Times New Roman"/>
        </w:rPr>
      </w:pPr>
    </w:p>
    <w:p w:rsidR="00F515DB" w:rsidRDefault="00F515DB">
      <w:pPr>
        <w:pStyle w:val="Corpsdetexte"/>
        <w:spacing w:before="3"/>
        <w:rPr>
          <w:rFonts w:ascii="Times New Roman"/>
          <w:sz w:val="24"/>
        </w:rPr>
      </w:pPr>
    </w:p>
    <w:p w:rsidR="0038355B" w:rsidRDefault="0038355B" w:rsidP="0038355B">
      <w:pPr>
        <w:pStyle w:val="Titre"/>
        <w:ind w:left="993"/>
        <w:jc w:val="right"/>
      </w:pPr>
      <w:r>
        <w:t>NOTE DE PRESENTATION BREVE ET SYNTHETIQUE</w:t>
      </w:r>
    </w:p>
    <w:p w:rsidR="00621D1F" w:rsidRDefault="0038355B" w:rsidP="0038355B">
      <w:pPr>
        <w:pStyle w:val="Titre"/>
        <w:ind w:left="0"/>
        <w:jc w:val="right"/>
      </w:pPr>
      <w:r>
        <w:t>DU BUDGET PRIMITIF 202</w:t>
      </w:r>
      <w:r w:rsidR="00C034AF">
        <w:t>5</w:t>
      </w:r>
      <w:r>
        <w:t xml:space="preserve"> – </w:t>
      </w:r>
    </w:p>
    <w:p w:rsidR="00621D1F" w:rsidRPr="00F44B55" w:rsidRDefault="00621D1F" w:rsidP="00621D1F">
      <w:pPr>
        <w:pStyle w:val="Titre"/>
        <w:ind w:left="0" w:right="-280"/>
        <w:jc w:val="right"/>
      </w:pPr>
      <w:r>
        <w:t>BUDGET ANNEXE MARCHE FORAIN</w:t>
      </w:r>
    </w:p>
    <w:p w:rsidR="00F515DB" w:rsidRDefault="009F2920">
      <w:pPr>
        <w:pStyle w:val="Corpsdetexte"/>
        <w:spacing w:before="3"/>
        <w:rPr>
          <w:b/>
          <w:sz w:val="11"/>
        </w:rPr>
      </w:pPr>
      <w:r>
        <w:rPr>
          <w:noProof/>
          <w:lang w:eastAsia="fr-FR"/>
        </w:rPr>
        <mc:AlternateContent>
          <mc:Choice Requires="wps">
            <w:drawing>
              <wp:anchor distT="0" distB="0" distL="0" distR="0" simplePos="0" relativeHeight="487587840" behindDoc="1" locked="0" layoutInCell="1" allowOverlap="1">
                <wp:simplePos x="0" y="0"/>
                <wp:positionH relativeFrom="page">
                  <wp:posOffset>3914775</wp:posOffset>
                </wp:positionH>
                <wp:positionV relativeFrom="paragraph">
                  <wp:posOffset>97790</wp:posOffset>
                </wp:positionV>
                <wp:extent cx="3033395"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3395" cy="1270"/>
                        </a:xfrm>
                        <a:custGeom>
                          <a:avLst/>
                          <a:gdLst>
                            <a:gd name="T0" fmla="+- 0 6165 6165"/>
                            <a:gd name="T1" fmla="*/ T0 w 4777"/>
                            <a:gd name="T2" fmla="+- 0 10942 6165"/>
                            <a:gd name="T3" fmla="*/ T2 w 4777"/>
                          </a:gdLst>
                          <a:ahLst/>
                          <a:cxnLst>
                            <a:cxn ang="0">
                              <a:pos x="T1" y="0"/>
                            </a:cxn>
                            <a:cxn ang="0">
                              <a:pos x="T3" y="0"/>
                            </a:cxn>
                          </a:cxnLst>
                          <a:rect l="0" t="0" r="r" b="b"/>
                          <a:pathLst>
                            <a:path w="4777">
                              <a:moveTo>
                                <a:pt x="0" y="0"/>
                              </a:moveTo>
                              <a:lnTo>
                                <a:pt x="4777"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BB5E" id="docshape1" o:spid="_x0000_s1026" style="position:absolute;margin-left:308.25pt;margin-top:7.7pt;width:238.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" path="m,l4777,e" filled="f" strokecolor="#231f20" strokeweight="3pt">
                <v:path arrowok="t" o:connecttype="custom" o:connectlocs="0,0;3033395,0" o:connectangles="0,0"/>
                <w10:wrap type="topAndBottom" anchorx="page"/>
              </v:shape>
            </w:pict>
          </mc:Fallback>
        </mc:AlternateContent>
      </w:r>
    </w:p>
    <w:p w:rsidR="00F515DB" w:rsidRDefault="00F515DB" w:rsidP="00A26D9F"/>
    <w:p w:rsidR="0038355B" w:rsidRDefault="0038355B">
      <w:pPr>
        <w:pStyle w:val="Corpsdetexte"/>
        <w:rPr>
          <w:b/>
          <w:sz w:val="16"/>
        </w:rPr>
      </w:pPr>
    </w:p>
    <w:p w:rsidR="00F515DB" w:rsidRPr="0038355B" w:rsidRDefault="00394336" w:rsidP="0038355B">
      <w:pPr>
        <w:spacing w:before="94"/>
        <w:jc w:val="both"/>
        <w:rPr>
          <w:color w:val="231F20"/>
        </w:rPr>
      </w:pPr>
      <w:r>
        <w:rPr>
          <w:b/>
          <w:color w:val="231F20"/>
        </w:rPr>
        <w:t>Objet :</w:t>
      </w:r>
      <w:r>
        <w:rPr>
          <w:b/>
          <w:color w:val="231F20"/>
          <w:spacing w:val="-1"/>
        </w:rPr>
        <w:t xml:space="preserve"> </w:t>
      </w:r>
      <w:r w:rsidR="0038355B" w:rsidRPr="0038355B">
        <w:rPr>
          <w:color w:val="231F20"/>
        </w:rPr>
        <w:t>Note de synthèse à destination des citoyens retraçant les informations financières essentielles du budget primitif 202</w:t>
      </w:r>
      <w:r w:rsidR="00C034AF">
        <w:rPr>
          <w:color w:val="231F20"/>
        </w:rPr>
        <w:t>5</w:t>
      </w:r>
      <w:r w:rsidR="0038355B" w:rsidRPr="0038355B">
        <w:rPr>
          <w:color w:val="231F20"/>
        </w:rPr>
        <w:t xml:space="preserve"> </w:t>
      </w:r>
      <w:r w:rsidR="00621D1F">
        <w:rPr>
          <w:color w:val="231F20"/>
        </w:rPr>
        <w:t xml:space="preserve">du budget annexe </w:t>
      </w:r>
      <w:r w:rsidR="00621D1F" w:rsidRPr="0038355B">
        <w:rPr>
          <w:color w:val="231F20"/>
        </w:rPr>
        <w:t xml:space="preserve">de la </w:t>
      </w:r>
      <w:r w:rsidR="002031D4">
        <w:rPr>
          <w:color w:val="231F20"/>
        </w:rPr>
        <w:t>V</w:t>
      </w:r>
      <w:r w:rsidR="00621D1F" w:rsidRPr="0038355B">
        <w:rPr>
          <w:color w:val="231F20"/>
        </w:rPr>
        <w:t>ille</w:t>
      </w:r>
      <w:r w:rsidR="00621D1F">
        <w:rPr>
          <w:color w:val="231F20"/>
        </w:rPr>
        <w:t xml:space="preserve"> « marché forain »</w:t>
      </w:r>
    </w:p>
    <w:p w:rsidR="00F515DB" w:rsidRDefault="009F2920" w:rsidP="00A26D9F">
      <w:r>
        <w:rPr>
          <w:noProof/>
          <w:lang w:eastAsia="fr-FR"/>
        </w:rPr>
        <mc:AlternateContent>
          <mc:Choice Requires="wps">
            <w:drawing>
              <wp:anchor distT="0" distB="0" distL="0" distR="0" simplePos="0" relativeHeight="487588352" behindDoc="1" locked="0" layoutInCell="1" allowOverlap="1">
                <wp:simplePos x="0" y="0"/>
                <wp:positionH relativeFrom="page">
                  <wp:posOffset>612140</wp:posOffset>
                </wp:positionH>
                <wp:positionV relativeFrom="paragraph">
                  <wp:posOffset>152400</wp:posOffset>
                </wp:positionV>
                <wp:extent cx="18034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964 964"/>
                            <a:gd name="T1" fmla="*/ T0 w 284"/>
                            <a:gd name="T2" fmla="+- 0 1247 964"/>
                            <a:gd name="T3" fmla="*/ T2 w 284"/>
                          </a:gdLst>
                          <a:ahLst/>
                          <a:cxnLst>
                            <a:cxn ang="0">
                              <a:pos x="T1" y="0"/>
                            </a:cxn>
                            <a:cxn ang="0">
                              <a:pos x="T3" y="0"/>
                            </a:cxn>
                          </a:cxnLst>
                          <a:rect l="0" t="0" r="r" b="b"/>
                          <a:pathLst>
                            <a:path w="284">
                              <a:moveTo>
                                <a:pt x="0" y="0"/>
                              </a:moveTo>
                              <a:lnTo>
                                <a:pt x="283"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5566" id="docshape2" o:spid="_x0000_s1026" style="position:absolute;margin-left:48.2pt;margin-top:12pt;width:14.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" path="m,l283,e" filled="f" strokecolor="#231f20" strokeweight="3pt">
                <v:path arrowok="t" o:connecttype="custom" o:connectlocs="0,0;179705,0" o:connectangles="0,0"/>
                <w10:wrap type="topAndBottom" anchorx="page"/>
              </v:shape>
            </w:pict>
          </mc:Fallback>
        </mc:AlternateContent>
      </w:r>
    </w:p>
    <w:p w:rsidR="0038355B" w:rsidRPr="0038355B" w:rsidRDefault="0038355B" w:rsidP="00A26D9F">
      <w:pPr>
        <w:rPr>
          <w:szCs w:val="20"/>
        </w:rPr>
      </w:pPr>
    </w:p>
    <w:p w:rsidR="0038355B" w:rsidRPr="0038355B" w:rsidRDefault="0038355B" w:rsidP="0038355B">
      <w:pPr>
        <w:jc w:val="both"/>
        <w:rPr>
          <w:szCs w:val="20"/>
        </w:rPr>
      </w:pPr>
      <w:r w:rsidRPr="0038355B">
        <w:rPr>
          <w:szCs w:val="20"/>
        </w:rPr>
        <w:t xml:space="preserve">Cette note a pour objet une présentation brève et synthétique </w:t>
      </w:r>
      <w:r w:rsidR="005A5150">
        <w:rPr>
          <w:szCs w:val="20"/>
        </w:rPr>
        <w:t>du budget primitif 202</w:t>
      </w:r>
      <w:r w:rsidR="00C034AF">
        <w:rPr>
          <w:szCs w:val="20"/>
        </w:rPr>
        <w:t>5</w:t>
      </w:r>
      <w:r w:rsidRPr="0038355B">
        <w:rPr>
          <w:szCs w:val="20"/>
        </w:rPr>
        <w:t xml:space="preserve"> </w:t>
      </w:r>
      <w:r w:rsidR="00621D1F">
        <w:rPr>
          <w:color w:val="231F20"/>
        </w:rPr>
        <w:t xml:space="preserve">du budget annexe </w:t>
      </w:r>
      <w:r w:rsidR="00621D1F" w:rsidRPr="0038355B">
        <w:rPr>
          <w:color w:val="231F20"/>
        </w:rPr>
        <w:t xml:space="preserve">de la </w:t>
      </w:r>
      <w:r w:rsidR="002031D4">
        <w:rPr>
          <w:color w:val="231F20"/>
        </w:rPr>
        <w:t>V</w:t>
      </w:r>
      <w:r w:rsidR="00621D1F" w:rsidRPr="0038355B">
        <w:rPr>
          <w:color w:val="231F20"/>
        </w:rPr>
        <w:t>ille</w:t>
      </w:r>
      <w:r w:rsidR="00621D1F">
        <w:rPr>
          <w:color w:val="231F20"/>
        </w:rPr>
        <w:t xml:space="preserve"> « marché forain »</w:t>
      </w:r>
      <w:r w:rsidRPr="0038355B">
        <w:rPr>
          <w:szCs w:val="20"/>
        </w:rPr>
        <w:t>, en retraçant les informations financières essentielles, afin de permettre aux citoyens d’en saisir les enjeux.</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Le budget primitif retrace l’ensemble des dépenses et des recettes autorisées et prévues pour l’année 202</w:t>
      </w:r>
      <w:r w:rsidR="00C034AF">
        <w:rPr>
          <w:szCs w:val="20"/>
        </w:rPr>
        <w:t>5</w:t>
      </w:r>
      <w:r w:rsidRPr="0038355B">
        <w:rPr>
          <w:szCs w:val="20"/>
        </w:rPr>
        <w:t>.</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et transmis au représentant de l’État dans les 15 jours qui suivent son approbation.</w:t>
      </w:r>
    </w:p>
    <w:p w:rsidR="0038355B" w:rsidRPr="0038355B" w:rsidRDefault="0038355B" w:rsidP="0038355B">
      <w:pPr>
        <w:jc w:val="both"/>
        <w:rPr>
          <w:szCs w:val="20"/>
        </w:rPr>
      </w:pPr>
    </w:p>
    <w:p w:rsidR="0038355B" w:rsidRPr="0038355B" w:rsidRDefault="0038355B" w:rsidP="0038355B">
      <w:pPr>
        <w:jc w:val="both"/>
        <w:rPr>
          <w:szCs w:val="20"/>
        </w:rPr>
      </w:pPr>
      <w:r w:rsidRPr="0038355B">
        <w:rPr>
          <w:szCs w:val="20"/>
        </w:rPr>
        <w:t>Le budget 202</w:t>
      </w:r>
      <w:r w:rsidR="00C034AF">
        <w:rPr>
          <w:szCs w:val="20"/>
        </w:rPr>
        <w:t>5</w:t>
      </w:r>
      <w:r w:rsidRPr="0038355B">
        <w:rPr>
          <w:szCs w:val="20"/>
        </w:rPr>
        <w:t xml:space="preserve"> </w:t>
      </w:r>
      <w:r w:rsidR="00C034AF">
        <w:rPr>
          <w:szCs w:val="20"/>
        </w:rPr>
        <w:t>a été</w:t>
      </w:r>
      <w:r w:rsidR="002A0E69">
        <w:rPr>
          <w:szCs w:val="20"/>
        </w:rPr>
        <w:t xml:space="preserve"> </w:t>
      </w:r>
      <w:r w:rsidR="002031D4">
        <w:rPr>
          <w:szCs w:val="20"/>
        </w:rPr>
        <w:t>adopté par le</w:t>
      </w:r>
      <w:r w:rsidR="002A0E69">
        <w:rPr>
          <w:szCs w:val="20"/>
        </w:rPr>
        <w:t xml:space="preserve"> </w:t>
      </w:r>
      <w:r w:rsidR="002031D4">
        <w:rPr>
          <w:szCs w:val="20"/>
        </w:rPr>
        <w:t>Conseil municipal du</w:t>
      </w:r>
      <w:r w:rsidR="002A0E69">
        <w:rPr>
          <w:szCs w:val="20"/>
        </w:rPr>
        <w:t xml:space="preserve"> </w:t>
      </w:r>
      <w:r w:rsidR="00C034AF">
        <w:rPr>
          <w:szCs w:val="20"/>
        </w:rPr>
        <w:t>27 mars 2025</w:t>
      </w:r>
      <w:r w:rsidR="002A0E69">
        <w:rPr>
          <w:szCs w:val="20"/>
        </w:rPr>
        <w:t xml:space="preserve">. </w:t>
      </w:r>
    </w:p>
    <w:p w:rsidR="0038355B" w:rsidRDefault="0038355B" w:rsidP="0038355B">
      <w:pPr>
        <w:jc w:val="both"/>
        <w:rPr>
          <w:szCs w:val="20"/>
        </w:rPr>
      </w:pPr>
    </w:p>
    <w:p w:rsidR="00621D1F" w:rsidRDefault="00621D1F" w:rsidP="00621D1F">
      <w:pPr>
        <w:jc w:val="both"/>
        <w:rPr>
          <w:szCs w:val="20"/>
        </w:rPr>
      </w:pPr>
      <w:r w:rsidRPr="00EA0805">
        <w:rPr>
          <w:szCs w:val="20"/>
        </w:rPr>
        <w:t>Il convient de préciser que cette année, les résultats de l’année antérieure seront repris dès le Budget primitif</w:t>
      </w:r>
      <w:r>
        <w:rPr>
          <w:szCs w:val="20"/>
        </w:rPr>
        <w:t xml:space="preserve"> 2025</w:t>
      </w:r>
      <w:r w:rsidRPr="00EA0805">
        <w:rPr>
          <w:szCs w:val="20"/>
        </w:rPr>
        <w:t>. Il n’y aura donc pas de Budget supplémentaire au moment du vote du Compte-administratif</w:t>
      </w:r>
      <w:r>
        <w:rPr>
          <w:szCs w:val="20"/>
        </w:rPr>
        <w:t xml:space="preserve"> 2024</w:t>
      </w:r>
      <w:r w:rsidRPr="00EA0805">
        <w:rPr>
          <w:szCs w:val="20"/>
        </w:rPr>
        <w:t>.</w:t>
      </w:r>
    </w:p>
    <w:p w:rsidR="00621D1F" w:rsidRDefault="00621D1F" w:rsidP="00621D1F">
      <w:pPr>
        <w:jc w:val="both"/>
        <w:rPr>
          <w:szCs w:val="20"/>
        </w:rPr>
      </w:pPr>
      <w:r>
        <w:rPr>
          <w:szCs w:val="20"/>
        </w:rPr>
        <w:t>Ainsi, le budget primitif 2025 du budget an</w:t>
      </w:r>
      <w:r w:rsidR="002031D4">
        <w:rPr>
          <w:szCs w:val="20"/>
        </w:rPr>
        <w:t>nexe « marché forain » intègre</w:t>
      </w:r>
      <w:r>
        <w:rPr>
          <w:szCs w:val="20"/>
        </w:rPr>
        <w:t xml:space="preserve"> les résultats antérieurs et les restes à réaliser.</w:t>
      </w:r>
    </w:p>
    <w:p w:rsidR="00621D1F" w:rsidRDefault="00621D1F" w:rsidP="0038355B">
      <w:pPr>
        <w:jc w:val="both"/>
        <w:rPr>
          <w:szCs w:val="20"/>
        </w:rPr>
      </w:pPr>
    </w:p>
    <w:p w:rsidR="00946165" w:rsidRDefault="00946165">
      <w:pPr>
        <w:spacing w:line="240" w:lineRule="auto"/>
        <w:ind w:left="0"/>
        <w:rPr>
          <w:szCs w:val="20"/>
        </w:rPr>
      </w:pPr>
      <w:r>
        <w:rPr>
          <w:szCs w:val="20"/>
        </w:rPr>
        <w:br w:type="page"/>
      </w:r>
    </w:p>
    <w:p w:rsidR="00621D1F" w:rsidRDefault="00621D1F" w:rsidP="0038355B">
      <w:pPr>
        <w:jc w:val="both"/>
        <w:rPr>
          <w:szCs w:val="20"/>
        </w:rPr>
      </w:pPr>
    </w:p>
    <w:p w:rsidR="00621D1F" w:rsidRPr="00B73E82" w:rsidRDefault="00621D1F" w:rsidP="00621D1F">
      <w:pPr>
        <w:pStyle w:val="Titre1"/>
        <w:spacing w:before="0" w:line="240" w:lineRule="auto"/>
      </w:pPr>
      <w:r w:rsidRPr="00B73E82">
        <w:t>Présentation synthétique du budget :</w:t>
      </w:r>
    </w:p>
    <w:p w:rsidR="00621D1F" w:rsidRPr="0006241D" w:rsidRDefault="00621D1F" w:rsidP="00621D1F">
      <w:pPr>
        <w:spacing w:line="240" w:lineRule="auto"/>
        <w:jc w:val="both"/>
        <w:rPr>
          <w:szCs w:val="20"/>
        </w:rPr>
      </w:pPr>
    </w:p>
    <w:p w:rsidR="00621D1F" w:rsidRPr="0096171C" w:rsidRDefault="00621D1F" w:rsidP="00621D1F">
      <w:pPr>
        <w:jc w:val="both"/>
        <w:rPr>
          <w:color w:val="000000"/>
          <w:szCs w:val="20"/>
        </w:rPr>
      </w:pPr>
      <w:r w:rsidRPr="0096171C">
        <w:rPr>
          <w:color w:val="000000"/>
          <w:szCs w:val="20"/>
        </w:rPr>
        <w:t xml:space="preserve">Le budget primitif </w:t>
      </w:r>
      <w:r>
        <w:rPr>
          <w:color w:val="000000"/>
          <w:szCs w:val="20"/>
        </w:rPr>
        <w:t>2025</w:t>
      </w:r>
      <w:r w:rsidRPr="0096171C">
        <w:rPr>
          <w:color w:val="000000"/>
          <w:szCs w:val="20"/>
        </w:rPr>
        <w:t xml:space="preserve"> du budget annexe « marché forain » s’équilibre à </w:t>
      </w:r>
      <w:r w:rsidRPr="00DF497C">
        <w:rPr>
          <w:color w:val="000000"/>
          <w:szCs w:val="20"/>
        </w:rPr>
        <w:t>hauteur de 696 493,89 €.</w:t>
      </w:r>
    </w:p>
    <w:p w:rsidR="00621D1F" w:rsidRDefault="00621D1F" w:rsidP="00621D1F">
      <w:pPr>
        <w:spacing w:line="240" w:lineRule="auto"/>
        <w:jc w:val="both"/>
        <w:rPr>
          <w:szCs w:val="20"/>
        </w:rPr>
      </w:pPr>
    </w:p>
    <w:p w:rsidR="00621D1F" w:rsidRPr="0096171C" w:rsidRDefault="00621D1F" w:rsidP="00621D1F">
      <w:pPr>
        <w:jc w:val="both"/>
        <w:rPr>
          <w:color w:val="000000"/>
          <w:szCs w:val="20"/>
        </w:rPr>
      </w:pPr>
      <w:r w:rsidRPr="0096171C">
        <w:rPr>
          <w:color w:val="000000"/>
          <w:szCs w:val="20"/>
        </w:rPr>
        <w:t>Sa structure est la suivante :</w:t>
      </w:r>
    </w:p>
    <w:p w:rsidR="00621D1F" w:rsidRDefault="00621D1F" w:rsidP="00621D1F">
      <w:pPr>
        <w:spacing w:line="240" w:lineRule="auto"/>
      </w:pPr>
    </w:p>
    <w:p w:rsidR="00621D1F" w:rsidRDefault="00621D1F" w:rsidP="00AB0AE0">
      <w:pPr>
        <w:spacing w:line="240" w:lineRule="auto"/>
        <w:ind w:left="-426"/>
        <w:jc w:val="center"/>
      </w:pPr>
      <w:r w:rsidRPr="00C7606E">
        <w:rPr>
          <w:noProof/>
          <w:lang w:eastAsia="fr-FR"/>
        </w:rPr>
        <w:drawing>
          <wp:inline distT="0" distB="0" distL="0" distR="0" wp14:anchorId="1508BFAE" wp14:editId="0BAE2AF7">
            <wp:extent cx="6813618" cy="2110740"/>
            <wp:effectExtent l="0" t="0" r="635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7712" cy="2112008"/>
                    </a:xfrm>
                    <a:prstGeom prst="rect">
                      <a:avLst/>
                    </a:prstGeom>
                    <a:noFill/>
                    <a:ln>
                      <a:noFill/>
                    </a:ln>
                  </pic:spPr>
                </pic:pic>
              </a:graphicData>
            </a:graphic>
          </wp:inline>
        </w:drawing>
      </w:r>
    </w:p>
    <w:p w:rsidR="00621D1F" w:rsidRDefault="00621D1F" w:rsidP="00621D1F">
      <w:pPr>
        <w:spacing w:line="240" w:lineRule="auto"/>
        <w:ind w:left="-284"/>
        <w:jc w:val="both"/>
        <w:rPr>
          <w:szCs w:val="20"/>
        </w:rPr>
      </w:pPr>
    </w:p>
    <w:p w:rsidR="0038355B" w:rsidRPr="00DC2426" w:rsidRDefault="0038355B" w:rsidP="0038355B">
      <w:pPr>
        <w:jc w:val="both"/>
        <w:rPr>
          <w:szCs w:val="20"/>
        </w:rPr>
      </w:pPr>
    </w:p>
    <w:p w:rsidR="0038355B" w:rsidRPr="0085433B" w:rsidRDefault="0038355B" w:rsidP="00B73E82">
      <w:pPr>
        <w:pStyle w:val="Titre1"/>
      </w:pPr>
      <w:r w:rsidRPr="0085433B">
        <w:t>Structure du budget :</w:t>
      </w:r>
    </w:p>
    <w:p w:rsidR="0038355B" w:rsidRPr="00DC2426" w:rsidRDefault="0038355B" w:rsidP="0038355B">
      <w:pPr>
        <w:jc w:val="both"/>
        <w:rPr>
          <w:szCs w:val="20"/>
        </w:rPr>
      </w:pPr>
    </w:p>
    <w:p w:rsidR="0038355B" w:rsidRPr="00DC2426" w:rsidRDefault="0038355B" w:rsidP="0038355B">
      <w:pPr>
        <w:jc w:val="both"/>
        <w:rPr>
          <w:szCs w:val="20"/>
        </w:rPr>
      </w:pPr>
      <w:r w:rsidRPr="00DC2426">
        <w:rPr>
          <w:szCs w:val="20"/>
        </w:rPr>
        <w:t>Les sections de fonctionnement et d’investissement structurent le budget de la collectivité :</w:t>
      </w:r>
    </w:p>
    <w:p w:rsidR="0038355B" w:rsidRPr="00EC5A72" w:rsidRDefault="0038355B" w:rsidP="0038355B">
      <w:pPr>
        <w:jc w:val="both"/>
        <w:rPr>
          <w:szCs w:val="20"/>
        </w:rPr>
      </w:pPr>
    </w:p>
    <w:p w:rsidR="0038355B" w:rsidRPr="00EC5A72" w:rsidRDefault="0038355B" w:rsidP="0038355B">
      <w:pPr>
        <w:widowControl/>
        <w:numPr>
          <w:ilvl w:val="0"/>
          <w:numId w:val="9"/>
        </w:numPr>
        <w:autoSpaceDE/>
        <w:autoSpaceDN/>
        <w:spacing w:line="240" w:lineRule="auto"/>
        <w:jc w:val="both"/>
        <w:rPr>
          <w:i/>
          <w:szCs w:val="20"/>
          <w:u w:val="single"/>
        </w:rPr>
      </w:pPr>
      <w:r w:rsidRPr="00EC5A72">
        <w:rPr>
          <w:i/>
          <w:szCs w:val="20"/>
          <w:u w:val="single"/>
        </w:rPr>
        <w:t>1. La section de fonctionnement (gestion des affaires courantes) :</w:t>
      </w:r>
    </w:p>
    <w:p w:rsidR="0038355B" w:rsidRPr="007E14CE" w:rsidRDefault="0038355B" w:rsidP="0038355B">
      <w:pPr>
        <w:jc w:val="both"/>
        <w:rPr>
          <w:szCs w:val="20"/>
        </w:rPr>
      </w:pPr>
    </w:p>
    <w:p w:rsidR="0038355B" w:rsidRPr="007E14CE" w:rsidRDefault="0038355B" w:rsidP="0038355B">
      <w:pPr>
        <w:jc w:val="both"/>
        <w:rPr>
          <w:szCs w:val="20"/>
        </w:rPr>
      </w:pPr>
      <w:r w:rsidRPr="007E14CE">
        <w:rPr>
          <w:szCs w:val="20"/>
        </w:rPr>
        <w:t xml:space="preserve">La section de fonctionnement regroupe l'ensemble des dépenses et des recettes nécessaires au fonctionnement courant et récurrent </w:t>
      </w:r>
      <w:r w:rsidR="00621D1F">
        <w:rPr>
          <w:szCs w:val="20"/>
        </w:rPr>
        <w:t>du marché forain</w:t>
      </w:r>
      <w:r w:rsidRPr="007E14CE">
        <w:rPr>
          <w:szCs w:val="20"/>
        </w:rPr>
        <w:t>.</w:t>
      </w:r>
    </w:p>
    <w:p w:rsidR="0038355B" w:rsidRPr="007E14CE" w:rsidRDefault="0038355B" w:rsidP="0038355B">
      <w:pPr>
        <w:jc w:val="both"/>
        <w:rPr>
          <w:szCs w:val="20"/>
        </w:rPr>
      </w:pPr>
    </w:p>
    <w:p w:rsidR="00621D1F" w:rsidRDefault="0038355B" w:rsidP="0038355B">
      <w:pPr>
        <w:jc w:val="both"/>
        <w:rPr>
          <w:szCs w:val="20"/>
        </w:rPr>
      </w:pPr>
      <w:r w:rsidRPr="007E14CE">
        <w:rPr>
          <w:szCs w:val="20"/>
        </w:rPr>
        <w:t xml:space="preserve">Les dépenses de fonctionnement sont constituées des éléments suivants : </w:t>
      </w:r>
      <w:r w:rsidR="00AB0AE0">
        <w:rPr>
          <w:szCs w:val="20"/>
        </w:rPr>
        <w:t>les charges de personnel</w:t>
      </w:r>
      <w:r w:rsidRPr="007E14CE">
        <w:rPr>
          <w:szCs w:val="20"/>
        </w:rPr>
        <w:t xml:space="preserve">, </w:t>
      </w:r>
      <w:r w:rsidR="00621D1F">
        <w:rPr>
          <w:szCs w:val="20"/>
        </w:rPr>
        <w:t xml:space="preserve">l’électricité, les prestations. </w:t>
      </w:r>
    </w:p>
    <w:p w:rsidR="006067B3" w:rsidRDefault="006067B3" w:rsidP="006067B3">
      <w:pPr>
        <w:spacing w:line="240" w:lineRule="auto"/>
        <w:jc w:val="both"/>
        <w:rPr>
          <w:szCs w:val="20"/>
        </w:rPr>
      </w:pPr>
    </w:p>
    <w:p w:rsidR="000855DD" w:rsidRDefault="000855DD" w:rsidP="000855DD">
      <w:pPr>
        <w:spacing w:line="240" w:lineRule="auto"/>
        <w:jc w:val="center"/>
        <w:rPr>
          <w:szCs w:val="20"/>
        </w:rPr>
      </w:pPr>
      <w:r>
        <w:rPr>
          <w:noProof/>
          <w:lang w:eastAsia="fr-FR"/>
        </w:rPr>
        <w:lastRenderedPageBreak/>
        <w:drawing>
          <wp:inline distT="0" distB="0" distL="0" distR="0" wp14:anchorId="4858D457" wp14:editId="454499C0">
            <wp:extent cx="6483350" cy="4165600"/>
            <wp:effectExtent l="0" t="0" r="12700" b="635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55DD" w:rsidRDefault="000855DD" w:rsidP="006067B3">
      <w:pPr>
        <w:spacing w:line="240" w:lineRule="auto"/>
        <w:jc w:val="both"/>
        <w:rPr>
          <w:szCs w:val="20"/>
        </w:rPr>
      </w:pPr>
    </w:p>
    <w:p w:rsidR="006067B3" w:rsidRPr="003B34EA" w:rsidRDefault="006067B3" w:rsidP="006067B3">
      <w:pPr>
        <w:spacing w:line="240" w:lineRule="auto"/>
        <w:jc w:val="both"/>
        <w:rPr>
          <w:szCs w:val="20"/>
        </w:rPr>
      </w:pPr>
    </w:p>
    <w:p w:rsidR="0038355B" w:rsidRPr="003B34EA" w:rsidRDefault="0038355B" w:rsidP="0038355B">
      <w:pPr>
        <w:jc w:val="both"/>
        <w:rPr>
          <w:szCs w:val="20"/>
        </w:rPr>
      </w:pPr>
      <w:r w:rsidRPr="003B34EA">
        <w:rPr>
          <w:szCs w:val="20"/>
        </w:rPr>
        <w:t>Les recettes de fonctionnement correspondent</w:t>
      </w:r>
      <w:r w:rsidR="005D1007">
        <w:rPr>
          <w:szCs w:val="20"/>
        </w:rPr>
        <w:t xml:space="preserve"> </w:t>
      </w:r>
      <w:r w:rsidRPr="003B34EA">
        <w:rPr>
          <w:szCs w:val="20"/>
        </w:rPr>
        <w:t xml:space="preserve">: </w:t>
      </w:r>
      <w:r w:rsidR="005D1007">
        <w:rPr>
          <w:szCs w:val="20"/>
        </w:rPr>
        <w:t>aux droits de place appliqués aux commerçants et à la subvention versée par la ville.</w:t>
      </w:r>
      <w:r w:rsidR="00AB0AE0">
        <w:rPr>
          <w:szCs w:val="20"/>
        </w:rPr>
        <w:t xml:space="preserve"> Au budget primitif 2025, on intègre également la reprise du résultat antérieur.</w:t>
      </w:r>
    </w:p>
    <w:p w:rsidR="003B34EA" w:rsidRDefault="003B34EA" w:rsidP="003B34EA">
      <w:pPr>
        <w:spacing w:line="240" w:lineRule="auto"/>
        <w:jc w:val="both"/>
        <w:rPr>
          <w:szCs w:val="20"/>
        </w:rPr>
      </w:pPr>
    </w:p>
    <w:p w:rsidR="000855DD" w:rsidRDefault="000855DD" w:rsidP="000855DD">
      <w:pPr>
        <w:spacing w:line="240" w:lineRule="auto"/>
        <w:jc w:val="center"/>
        <w:rPr>
          <w:szCs w:val="20"/>
        </w:rPr>
      </w:pPr>
      <w:r>
        <w:rPr>
          <w:noProof/>
          <w:lang w:eastAsia="fr-FR"/>
        </w:rPr>
        <w:drawing>
          <wp:inline distT="0" distB="0" distL="0" distR="0" wp14:anchorId="66B422DE" wp14:editId="01E2CBDD">
            <wp:extent cx="5562600" cy="3939540"/>
            <wp:effectExtent l="0" t="0" r="0" b="381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34EA" w:rsidRPr="00603D48" w:rsidRDefault="003B34EA" w:rsidP="003B34EA">
      <w:pPr>
        <w:spacing w:line="240" w:lineRule="auto"/>
        <w:jc w:val="both"/>
        <w:rPr>
          <w:szCs w:val="20"/>
        </w:rPr>
      </w:pPr>
    </w:p>
    <w:p w:rsidR="0038355B" w:rsidRPr="00603D48" w:rsidRDefault="0038355B" w:rsidP="00603D48">
      <w:pPr>
        <w:rPr>
          <w:szCs w:val="20"/>
        </w:rPr>
      </w:pPr>
    </w:p>
    <w:p w:rsidR="0038355B" w:rsidRPr="00603D48" w:rsidRDefault="0038355B" w:rsidP="0038355B">
      <w:pPr>
        <w:widowControl/>
        <w:numPr>
          <w:ilvl w:val="0"/>
          <w:numId w:val="9"/>
        </w:numPr>
        <w:autoSpaceDE/>
        <w:autoSpaceDN/>
        <w:spacing w:line="240" w:lineRule="auto"/>
        <w:jc w:val="both"/>
        <w:rPr>
          <w:i/>
          <w:szCs w:val="20"/>
          <w:u w:val="single"/>
        </w:rPr>
      </w:pPr>
      <w:r w:rsidRPr="00603D48">
        <w:rPr>
          <w:i/>
          <w:szCs w:val="20"/>
          <w:u w:val="single"/>
        </w:rPr>
        <w:t>2. La section d'investissement (qui a vocation à entretenir le patrimoine</w:t>
      </w:r>
      <w:r w:rsidR="00603D48">
        <w:rPr>
          <w:i/>
          <w:szCs w:val="20"/>
          <w:u w:val="single"/>
        </w:rPr>
        <w:t>, acquérir du matériel durable</w:t>
      </w:r>
      <w:r w:rsidRPr="00603D48">
        <w:rPr>
          <w:i/>
          <w:szCs w:val="20"/>
          <w:u w:val="single"/>
        </w:rPr>
        <w:t xml:space="preserve"> et à lancer de nouveaux projets pour préparer l'avenir).</w:t>
      </w:r>
    </w:p>
    <w:p w:rsidR="0038355B" w:rsidRPr="00603D48" w:rsidRDefault="0038355B" w:rsidP="0038355B">
      <w:pPr>
        <w:jc w:val="both"/>
        <w:rPr>
          <w:szCs w:val="20"/>
        </w:rPr>
      </w:pPr>
    </w:p>
    <w:p w:rsidR="0038355B" w:rsidRPr="00603D48" w:rsidRDefault="0038355B" w:rsidP="0038355B">
      <w:pPr>
        <w:jc w:val="both"/>
        <w:rPr>
          <w:szCs w:val="20"/>
        </w:rPr>
      </w:pPr>
      <w:r w:rsidRPr="00603D48">
        <w:rPr>
          <w:szCs w:val="20"/>
        </w:rPr>
        <w:t>Le budget d'investissement prépare l’avenir. Contrairement à la section de fonctionnement qui implique des notions de récurrence et de quotidienneté, la section d'investissement est liée aux projets à moyen ou long terme.</w:t>
      </w:r>
    </w:p>
    <w:p w:rsidR="0038355B" w:rsidRPr="00603D48" w:rsidRDefault="0038355B" w:rsidP="0038355B">
      <w:pPr>
        <w:jc w:val="both"/>
        <w:rPr>
          <w:szCs w:val="20"/>
        </w:rPr>
      </w:pPr>
    </w:p>
    <w:p w:rsidR="0038355B" w:rsidRPr="00603D48" w:rsidRDefault="0038355B" w:rsidP="0038355B">
      <w:pPr>
        <w:jc w:val="both"/>
        <w:rPr>
          <w:szCs w:val="20"/>
        </w:rPr>
      </w:pPr>
      <w:r w:rsidRPr="00603D48">
        <w:rPr>
          <w:szCs w:val="20"/>
        </w:rPr>
        <w:t>En dépenses d’investissement : apparaissent toutes les dépenses faisant varier durablement la valeur ou la consistance du patrimoine de la collectivité. Il s'agit notamment des acquisitions de mobilier, de matériel, d'études et de travaux.</w:t>
      </w:r>
    </w:p>
    <w:p w:rsidR="00603D48" w:rsidRDefault="00603D48" w:rsidP="00603D48">
      <w:pPr>
        <w:spacing w:line="240" w:lineRule="auto"/>
        <w:jc w:val="both"/>
        <w:rPr>
          <w:szCs w:val="20"/>
        </w:rPr>
      </w:pPr>
    </w:p>
    <w:p w:rsidR="00A06180" w:rsidRDefault="00A06180" w:rsidP="00A06180">
      <w:pPr>
        <w:spacing w:line="240" w:lineRule="auto"/>
        <w:jc w:val="center"/>
        <w:rPr>
          <w:szCs w:val="20"/>
        </w:rPr>
      </w:pPr>
      <w:r>
        <w:rPr>
          <w:noProof/>
          <w:lang w:eastAsia="fr-FR"/>
        </w:rPr>
        <w:drawing>
          <wp:inline distT="0" distB="0" distL="0" distR="0" wp14:anchorId="7398F108" wp14:editId="2D09170E">
            <wp:extent cx="5539740" cy="3512820"/>
            <wp:effectExtent l="0" t="0" r="3810" b="1143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6180" w:rsidRDefault="00A06180" w:rsidP="00603D48">
      <w:pPr>
        <w:spacing w:line="240" w:lineRule="auto"/>
        <w:jc w:val="both"/>
        <w:rPr>
          <w:szCs w:val="20"/>
        </w:rPr>
      </w:pPr>
    </w:p>
    <w:p w:rsidR="0038355B" w:rsidRDefault="0038355B" w:rsidP="00603D48">
      <w:pPr>
        <w:spacing w:line="240" w:lineRule="auto"/>
        <w:jc w:val="both"/>
        <w:rPr>
          <w:szCs w:val="20"/>
        </w:rPr>
      </w:pPr>
    </w:p>
    <w:p w:rsidR="00941A1D" w:rsidRDefault="00941A1D">
      <w:pPr>
        <w:spacing w:line="240" w:lineRule="auto"/>
        <w:ind w:left="0"/>
        <w:rPr>
          <w:szCs w:val="20"/>
        </w:rPr>
      </w:pPr>
      <w:r>
        <w:rPr>
          <w:szCs w:val="20"/>
        </w:rPr>
        <w:br w:type="page"/>
      </w:r>
    </w:p>
    <w:p w:rsidR="00941A1D" w:rsidRDefault="00941A1D" w:rsidP="00603D48">
      <w:pPr>
        <w:spacing w:line="240" w:lineRule="auto"/>
        <w:jc w:val="both"/>
        <w:rPr>
          <w:szCs w:val="20"/>
        </w:rPr>
      </w:pPr>
    </w:p>
    <w:p w:rsidR="00941A1D" w:rsidRPr="00603D48" w:rsidRDefault="00941A1D" w:rsidP="00603D48">
      <w:pPr>
        <w:spacing w:line="240" w:lineRule="auto"/>
        <w:jc w:val="both"/>
        <w:rPr>
          <w:szCs w:val="20"/>
        </w:rPr>
      </w:pPr>
    </w:p>
    <w:p w:rsidR="0038355B" w:rsidRPr="00603D48" w:rsidRDefault="0038355B" w:rsidP="0038355B">
      <w:pPr>
        <w:jc w:val="both"/>
        <w:rPr>
          <w:szCs w:val="20"/>
        </w:rPr>
      </w:pPr>
      <w:r w:rsidRPr="00603D48">
        <w:rPr>
          <w:szCs w:val="20"/>
        </w:rPr>
        <w:t xml:space="preserve">En recettes d’investissement, on trouve : </w:t>
      </w:r>
      <w:r w:rsidR="00A06180">
        <w:rPr>
          <w:szCs w:val="20"/>
        </w:rPr>
        <w:t>la subvention de la ville et la reprise du résultat antérieur</w:t>
      </w:r>
      <w:r w:rsidRPr="00603D48">
        <w:rPr>
          <w:szCs w:val="20"/>
        </w:rPr>
        <w:t xml:space="preserve">. </w:t>
      </w:r>
    </w:p>
    <w:p w:rsidR="00603D48" w:rsidRDefault="00603D48" w:rsidP="00603D48">
      <w:pPr>
        <w:spacing w:line="240" w:lineRule="auto"/>
        <w:jc w:val="both"/>
        <w:rPr>
          <w:szCs w:val="20"/>
        </w:rPr>
      </w:pPr>
    </w:p>
    <w:p w:rsidR="0060257A" w:rsidRDefault="0060257A" w:rsidP="0060257A">
      <w:pPr>
        <w:spacing w:line="240" w:lineRule="auto"/>
        <w:jc w:val="center"/>
        <w:rPr>
          <w:szCs w:val="20"/>
        </w:rPr>
      </w:pPr>
    </w:p>
    <w:p w:rsidR="0060257A" w:rsidRDefault="0060257A" w:rsidP="0060257A">
      <w:pPr>
        <w:spacing w:line="240" w:lineRule="auto"/>
        <w:jc w:val="center"/>
        <w:rPr>
          <w:szCs w:val="20"/>
        </w:rPr>
      </w:pPr>
      <w:r>
        <w:rPr>
          <w:noProof/>
          <w:lang w:eastAsia="fr-FR"/>
        </w:rPr>
        <w:drawing>
          <wp:inline distT="0" distB="0" distL="0" distR="0" wp14:anchorId="4B02D72A" wp14:editId="7A0E157C">
            <wp:extent cx="5638800" cy="33909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57A" w:rsidRPr="00603D48" w:rsidRDefault="0060257A" w:rsidP="00603D48">
      <w:pPr>
        <w:spacing w:line="240" w:lineRule="auto"/>
        <w:jc w:val="both"/>
        <w:rPr>
          <w:szCs w:val="20"/>
        </w:rPr>
      </w:pPr>
    </w:p>
    <w:p w:rsidR="00603D48" w:rsidRPr="00603D48" w:rsidRDefault="00603D48" w:rsidP="00603D48">
      <w:pPr>
        <w:spacing w:line="240" w:lineRule="auto"/>
        <w:jc w:val="both"/>
        <w:rPr>
          <w:szCs w:val="20"/>
        </w:rPr>
      </w:pPr>
    </w:p>
    <w:p w:rsidR="0038355B" w:rsidRDefault="0038355B" w:rsidP="00F3290B">
      <w:pPr>
        <w:spacing w:line="240" w:lineRule="auto"/>
        <w:jc w:val="both"/>
        <w:rPr>
          <w:szCs w:val="20"/>
        </w:rPr>
      </w:pPr>
    </w:p>
    <w:p w:rsidR="0060257A" w:rsidRPr="0006241D" w:rsidRDefault="0060257A" w:rsidP="00F3290B">
      <w:pPr>
        <w:spacing w:line="240" w:lineRule="auto"/>
        <w:jc w:val="both"/>
        <w:rPr>
          <w:szCs w:val="20"/>
        </w:rPr>
      </w:pPr>
    </w:p>
    <w:p w:rsidR="0038355B" w:rsidRPr="0006241D" w:rsidRDefault="0038355B" w:rsidP="00F3290B">
      <w:pPr>
        <w:spacing w:line="240" w:lineRule="auto"/>
        <w:jc w:val="both"/>
        <w:rPr>
          <w:szCs w:val="20"/>
        </w:rPr>
      </w:pPr>
    </w:p>
    <w:p w:rsidR="0038355B" w:rsidRPr="0006241D" w:rsidRDefault="0038355B" w:rsidP="002031D4">
      <w:pPr>
        <w:spacing w:line="240" w:lineRule="auto"/>
        <w:jc w:val="both"/>
        <w:rPr>
          <w:szCs w:val="20"/>
        </w:rPr>
      </w:pPr>
      <w:r w:rsidRPr="0006241D">
        <w:rPr>
          <w:szCs w:val="20"/>
        </w:rPr>
        <w:t>Pour consulter le rapport détaillé transmis au conseil municipal :</w:t>
      </w:r>
      <w:r w:rsidR="002031D4">
        <w:rPr>
          <w:szCs w:val="20"/>
        </w:rPr>
        <w:t xml:space="preserve"> LIEN</w:t>
      </w:r>
      <w:bookmarkStart w:id="0" w:name="_GoBack"/>
      <w:bookmarkEnd w:id="0"/>
    </w:p>
    <w:sectPr w:rsidR="0038355B" w:rsidRPr="0006241D" w:rsidSect="0055390D">
      <w:footerReference w:type="default" r:id="rId14"/>
      <w:type w:val="continuous"/>
      <w:pgSz w:w="11910" w:h="16840"/>
      <w:pgMar w:top="1135" w:right="84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4C3" w:rsidRDefault="00CA14C3" w:rsidP="00330F0E">
      <w:r>
        <w:separator/>
      </w:r>
    </w:p>
  </w:endnote>
  <w:endnote w:type="continuationSeparator" w:id="0">
    <w:p w:rsidR="00CA14C3" w:rsidRDefault="00CA14C3" w:rsidP="003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0E" w:rsidRDefault="00330F0E">
    <w:pPr>
      <w:pStyle w:val="Pieddepage"/>
    </w:pPr>
    <w:r>
      <w:rPr>
        <w:noProof/>
        <w:lang w:eastAsia="fr-FR"/>
      </w:rPr>
      <w:drawing>
        <wp:anchor distT="0" distB="0" distL="0" distR="0" simplePos="0" relativeHeight="251659264" behindDoc="0" locked="0" layoutInCell="1" allowOverlap="1" wp14:anchorId="3BC2CEC0" wp14:editId="3B8263FB">
          <wp:simplePos x="0" y="0"/>
          <wp:positionH relativeFrom="page">
            <wp:posOffset>546100</wp:posOffset>
          </wp:positionH>
          <wp:positionV relativeFrom="paragraph">
            <wp:posOffset>161925</wp:posOffset>
          </wp:positionV>
          <wp:extent cx="6192797" cy="19202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92797" cy="19202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4C3" w:rsidRDefault="00CA14C3" w:rsidP="00330F0E">
      <w:r>
        <w:separator/>
      </w:r>
    </w:p>
  </w:footnote>
  <w:footnote w:type="continuationSeparator" w:id="0">
    <w:p w:rsidR="00CA14C3" w:rsidRDefault="00CA14C3" w:rsidP="00330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F58"/>
    <w:multiLevelType w:val="hybridMultilevel"/>
    <w:tmpl w:val="28164E3A"/>
    <w:lvl w:ilvl="0" w:tplc="93DA78D6">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 w15:restartNumberingAfterBreak="0">
    <w:nsid w:val="0FB0759F"/>
    <w:multiLevelType w:val="hybridMultilevel"/>
    <w:tmpl w:val="EA80F146"/>
    <w:lvl w:ilvl="0" w:tplc="93B86D1A">
      <w:numFmt w:val="bullet"/>
      <w:lvlText w:val=""/>
      <w:lvlJc w:val="left"/>
      <w:pPr>
        <w:ind w:left="502" w:hanging="360"/>
      </w:pPr>
      <w:rPr>
        <w:rFonts w:ascii="Wingdings" w:eastAsia="Arial"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166B34B9"/>
    <w:multiLevelType w:val="hybridMultilevel"/>
    <w:tmpl w:val="30FA76E6"/>
    <w:lvl w:ilvl="0" w:tplc="C54A49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39E5"/>
    <w:multiLevelType w:val="hybridMultilevel"/>
    <w:tmpl w:val="163439B2"/>
    <w:lvl w:ilvl="0" w:tplc="3A8A0D7E">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FF34262"/>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144E6"/>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F1068"/>
    <w:multiLevelType w:val="hybridMultilevel"/>
    <w:tmpl w:val="357A0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87450C"/>
    <w:multiLevelType w:val="hybridMultilevel"/>
    <w:tmpl w:val="5FC45848"/>
    <w:lvl w:ilvl="0" w:tplc="A1522E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9E5800"/>
    <w:multiLevelType w:val="hybridMultilevel"/>
    <w:tmpl w:val="259E8A8A"/>
    <w:lvl w:ilvl="0" w:tplc="60B681C0">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51DA6A89"/>
    <w:multiLevelType w:val="hybridMultilevel"/>
    <w:tmpl w:val="851AA736"/>
    <w:lvl w:ilvl="0" w:tplc="724A04CA">
      <w:start w:val="1"/>
      <w:numFmt w:val="decimal"/>
      <w:lvlText w:val="%1."/>
      <w:lvlJc w:val="left"/>
      <w:pPr>
        <w:ind w:left="502" w:hanging="360"/>
      </w:pPr>
    </w:lvl>
    <w:lvl w:ilvl="1" w:tplc="040C0019" w:tentative="1">
      <w:start w:val="1"/>
      <w:numFmt w:val="lowerLetter"/>
      <w:lvlText w:val="%2."/>
      <w:lvlJc w:val="left"/>
      <w:pPr>
        <w:ind w:left="9532" w:hanging="360"/>
      </w:pPr>
    </w:lvl>
    <w:lvl w:ilvl="2" w:tplc="040C001B" w:tentative="1">
      <w:start w:val="1"/>
      <w:numFmt w:val="lowerRoman"/>
      <w:lvlText w:val="%3."/>
      <w:lvlJc w:val="right"/>
      <w:pPr>
        <w:ind w:left="10252" w:hanging="180"/>
      </w:pPr>
    </w:lvl>
    <w:lvl w:ilvl="3" w:tplc="040C000F" w:tentative="1">
      <w:start w:val="1"/>
      <w:numFmt w:val="decimal"/>
      <w:lvlText w:val="%4."/>
      <w:lvlJc w:val="left"/>
      <w:pPr>
        <w:ind w:left="10972" w:hanging="360"/>
      </w:pPr>
    </w:lvl>
    <w:lvl w:ilvl="4" w:tplc="040C0019" w:tentative="1">
      <w:start w:val="1"/>
      <w:numFmt w:val="lowerLetter"/>
      <w:lvlText w:val="%5."/>
      <w:lvlJc w:val="left"/>
      <w:pPr>
        <w:ind w:left="11692" w:hanging="360"/>
      </w:pPr>
    </w:lvl>
    <w:lvl w:ilvl="5" w:tplc="040C001B" w:tentative="1">
      <w:start w:val="1"/>
      <w:numFmt w:val="lowerRoman"/>
      <w:lvlText w:val="%6."/>
      <w:lvlJc w:val="right"/>
      <w:pPr>
        <w:ind w:left="12412" w:hanging="180"/>
      </w:pPr>
    </w:lvl>
    <w:lvl w:ilvl="6" w:tplc="040C000F" w:tentative="1">
      <w:start w:val="1"/>
      <w:numFmt w:val="decimal"/>
      <w:lvlText w:val="%7."/>
      <w:lvlJc w:val="left"/>
      <w:pPr>
        <w:ind w:left="13132" w:hanging="360"/>
      </w:pPr>
    </w:lvl>
    <w:lvl w:ilvl="7" w:tplc="040C0019" w:tentative="1">
      <w:start w:val="1"/>
      <w:numFmt w:val="lowerLetter"/>
      <w:lvlText w:val="%8."/>
      <w:lvlJc w:val="left"/>
      <w:pPr>
        <w:ind w:left="13852" w:hanging="360"/>
      </w:pPr>
    </w:lvl>
    <w:lvl w:ilvl="8" w:tplc="040C001B" w:tentative="1">
      <w:start w:val="1"/>
      <w:numFmt w:val="lowerRoman"/>
      <w:lvlText w:val="%9."/>
      <w:lvlJc w:val="right"/>
      <w:pPr>
        <w:ind w:left="14572" w:hanging="180"/>
      </w:pPr>
    </w:lvl>
  </w:abstractNum>
  <w:abstractNum w:abstractNumId="10" w15:restartNumberingAfterBreak="0">
    <w:nsid w:val="58F7381C"/>
    <w:multiLevelType w:val="hybridMultilevel"/>
    <w:tmpl w:val="A61E6118"/>
    <w:lvl w:ilvl="0" w:tplc="93F80192">
      <w:start w:val="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76892F40"/>
    <w:multiLevelType w:val="hybridMultilevel"/>
    <w:tmpl w:val="AE4076D8"/>
    <w:lvl w:ilvl="0" w:tplc="040C000F">
      <w:start w:val="1"/>
      <w:numFmt w:val="decimal"/>
      <w:lvlText w:val="%1."/>
      <w:lvlJc w:val="left"/>
      <w:pPr>
        <w:ind w:left="823" w:hanging="360"/>
      </w:p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12" w15:restartNumberingAfterBreak="0">
    <w:nsid w:val="79685322"/>
    <w:multiLevelType w:val="hybridMultilevel"/>
    <w:tmpl w:val="D76E4DF8"/>
    <w:lvl w:ilvl="0" w:tplc="B2D2CD9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7ECC233F"/>
    <w:multiLevelType w:val="hybridMultilevel"/>
    <w:tmpl w:val="AC3CE9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1"/>
  </w:num>
  <w:num w:numId="6">
    <w:abstractNumId w:val="12"/>
  </w:num>
  <w:num w:numId="7">
    <w:abstractNumId w:val="3"/>
  </w:num>
  <w:num w:numId="8">
    <w:abstractNumId w:val="8"/>
  </w:num>
  <w:num w:numId="9">
    <w:abstractNumId w:val="6"/>
  </w:num>
  <w:num w:numId="10">
    <w:abstractNumId w:val="2"/>
  </w:num>
  <w:num w:numId="11">
    <w:abstractNumId w:val="5"/>
  </w:num>
  <w:num w:numId="12">
    <w:abstractNumId w:val="4"/>
  </w:num>
  <w:num w:numId="13">
    <w:abstractNumId w:val="9"/>
  </w:num>
  <w:num w:numId="14">
    <w:abstractNumId w:val="9"/>
  </w:num>
  <w:num w:numId="15">
    <w:abstractNumId w:val="9"/>
  </w:num>
  <w:num w:numId="16">
    <w:abstractNumId w:val="9"/>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DB"/>
    <w:rsid w:val="000007F0"/>
    <w:rsid w:val="00025BD5"/>
    <w:rsid w:val="00042C69"/>
    <w:rsid w:val="00051AE2"/>
    <w:rsid w:val="0006241D"/>
    <w:rsid w:val="000841FC"/>
    <w:rsid w:val="000855DD"/>
    <w:rsid w:val="000937AF"/>
    <w:rsid w:val="000B0EDC"/>
    <w:rsid w:val="000E0EE3"/>
    <w:rsid w:val="000E37E3"/>
    <w:rsid w:val="000E482B"/>
    <w:rsid w:val="000F33C0"/>
    <w:rsid w:val="00100E1F"/>
    <w:rsid w:val="00104945"/>
    <w:rsid w:val="00117001"/>
    <w:rsid w:val="001250B6"/>
    <w:rsid w:val="00132E77"/>
    <w:rsid w:val="0013490F"/>
    <w:rsid w:val="00176775"/>
    <w:rsid w:val="001965FC"/>
    <w:rsid w:val="001A7F3D"/>
    <w:rsid w:val="001B69F9"/>
    <w:rsid w:val="001D09E6"/>
    <w:rsid w:val="002031D4"/>
    <w:rsid w:val="0021010B"/>
    <w:rsid w:val="00223F8C"/>
    <w:rsid w:val="00242B1E"/>
    <w:rsid w:val="00266D1E"/>
    <w:rsid w:val="00272317"/>
    <w:rsid w:val="002A0E69"/>
    <w:rsid w:val="002C65B9"/>
    <w:rsid w:val="002C7281"/>
    <w:rsid w:val="00330F0E"/>
    <w:rsid w:val="0035268C"/>
    <w:rsid w:val="0036200D"/>
    <w:rsid w:val="0038355B"/>
    <w:rsid w:val="00394336"/>
    <w:rsid w:val="003A083F"/>
    <w:rsid w:val="003B34EA"/>
    <w:rsid w:val="003D3D5F"/>
    <w:rsid w:val="003F2289"/>
    <w:rsid w:val="004013F0"/>
    <w:rsid w:val="00435AEB"/>
    <w:rsid w:val="004458FC"/>
    <w:rsid w:val="00453AF7"/>
    <w:rsid w:val="00461146"/>
    <w:rsid w:val="00465A92"/>
    <w:rsid w:val="00497F2C"/>
    <w:rsid w:val="004D070A"/>
    <w:rsid w:val="004F0A61"/>
    <w:rsid w:val="004F4D44"/>
    <w:rsid w:val="00514648"/>
    <w:rsid w:val="00514F95"/>
    <w:rsid w:val="0055390D"/>
    <w:rsid w:val="0055754D"/>
    <w:rsid w:val="00557E8F"/>
    <w:rsid w:val="005610C8"/>
    <w:rsid w:val="0058202C"/>
    <w:rsid w:val="005A5150"/>
    <w:rsid w:val="005B1AC8"/>
    <w:rsid w:val="005B1F39"/>
    <w:rsid w:val="005C5779"/>
    <w:rsid w:val="005D1007"/>
    <w:rsid w:val="005E5923"/>
    <w:rsid w:val="005F2970"/>
    <w:rsid w:val="0060257A"/>
    <w:rsid w:val="00603D48"/>
    <w:rsid w:val="006067B3"/>
    <w:rsid w:val="00621D1F"/>
    <w:rsid w:val="0063403D"/>
    <w:rsid w:val="006371B2"/>
    <w:rsid w:val="006379CF"/>
    <w:rsid w:val="00663EBA"/>
    <w:rsid w:val="00665D37"/>
    <w:rsid w:val="00695252"/>
    <w:rsid w:val="006A27E4"/>
    <w:rsid w:val="006A7971"/>
    <w:rsid w:val="006B3382"/>
    <w:rsid w:val="006C1F87"/>
    <w:rsid w:val="006C79D8"/>
    <w:rsid w:val="006F0A53"/>
    <w:rsid w:val="0071677E"/>
    <w:rsid w:val="0072685F"/>
    <w:rsid w:val="007366E2"/>
    <w:rsid w:val="0074311A"/>
    <w:rsid w:val="00773384"/>
    <w:rsid w:val="00774683"/>
    <w:rsid w:val="0077471A"/>
    <w:rsid w:val="00782321"/>
    <w:rsid w:val="007A0DFE"/>
    <w:rsid w:val="007B3AC6"/>
    <w:rsid w:val="007B426E"/>
    <w:rsid w:val="007B624F"/>
    <w:rsid w:val="007B65DB"/>
    <w:rsid w:val="007E14CE"/>
    <w:rsid w:val="007E5514"/>
    <w:rsid w:val="00815C42"/>
    <w:rsid w:val="00822CD0"/>
    <w:rsid w:val="00825613"/>
    <w:rsid w:val="00847379"/>
    <w:rsid w:val="00850116"/>
    <w:rsid w:val="0085433B"/>
    <w:rsid w:val="008554C6"/>
    <w:rsid w:val="00863B05"/>
    <w:rsid w:val="00892683"/>
    <w:rsid w:val="008B6D70"/>
    <w:rsid w:val="008D25B1"/>
    <w:rsid w:val="008E66FF"/>
    <w:rsid w:val="00906DF4"/>
    <w:rsid w:val="00913E88"/>
    <w:rsid w:val="00937746"/>
    <w:rsid w:val="00941A1D"/>
    <w:rsid w:val="00946165"/>
    <w:rsid w:val="00967DE2"/>
    <w:rsid w:val="009D6D0E"/>
    <w:rsid w:val="009F1A7A"/>
    <w:rsid w:val="009F2920"/>
    <w:rsid w:val="00A06180"/>
    <w:rsid w:val="00A21515"/>
    <w:rsid w:val="00A26D9F"/>
    <w:rsid w:val="00A42673"/>
    <w:rsid w:val="00A539D4"/>
    <w:rsid w:val="00A6081D"/>
    <w:rsid w:val="00AA62A9"/>
    <w:rsid w:val="00AB0AE0"/>
    <w:rsid w:val="00AD1589"/>
    <w:rsid w:val="00AF4754"/>
    <w:rsid w:val="00B02FCE"/>
    <w:rsid w:val="00B07188"/>
    <w:rsid w:val="00B1715C"/>
    <w:rsid w:val="00B37B97"/>
    <w:rsid w:val="00B42A9C"/>
    <w:rsid w:val="00B73E82"/>
    <w:rsid w:val="00B948B9"/>
    <w:rsid w:val="00BC0BFF"/>
    <w:rsid w:val="00BC33CE"/>
    <w:rsid w:val="00BD0DF0"/>
    <w:rsid w:val="00C034AF"/>
    <w:rsid w:val="00C03627"/>
    <w:rsid w:val="00C15EE5"/>
    <w:rsid w:val="00C35D84"/>
    <w:rsid w:val="00C6429B"/>
    <w:rsid w:val="00C7210C"/>
    <w:rsid w:val="00CA14C3"/>
    <w:rsid w:val="00CA330A"/>
    <w:rsid w:val="00CF13E1"/>
    <w:rsid w:val="00D12654"/>
    <w:rsid w:val="00D13008"/>
    <w:rsid w:val="00D50C1C"/>
    <w:rsid w:val="00D605D2"/>
    <w:rsid w:val="00DC2426"/>
    <w:rsid w:val="00DD5C00"/>
    <w:rsid w:val="00E155B7"/>
    <w:rsid w:val="00E251ED"/>
    <w:rsid w:val="00E267C4"/>
    <w:rsid w:val="00E35286"/>
    <w:rsid w:val="00E41D0A"/>
    <w:rsid w:val="00E66230"/>
    <w:rsid w:val="00EA52F1"/>
    <w:rsid w:val="00EC0AEC"/>
    <w:rsid w:val="00EC4130"/>
    <w:rsid w:val="00EC5A72"/>
    <w:rsid w:val="00EE0E20"/>
    <w:rsid w:val="00EE5CF4"/>
    <w:rsid w:val="00F007FF"/>
    <w:rsid w:val="00F176D3"/>
    <w:rsid w:val="00F26B43"/>
    <w:rsid w:val="00F27122"/>
    <w:rsid w:val="00F3290B"/>
    <w:rsid w:val="00F3598A"/>
    <w:rsid w:val="00F44B55"/>
    <w:rsid w:val="00F515DB"/>
    <w:rsid w:val="00F56E2C"/>
    <w:rsid w:val="00F57B7A"/>
    <w:rsid w:val="00F604A1"/>
    <w:rsid w:val="00F70C29"/>
    <w:rsid w:val="00F94E85"/>
    <w:rsid w:val="00FB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02001-426C-401B-BE13-EAD49206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6D9F"/>
    <w:pPr>
      <w:spacing w:line="280" w:lineRule="exact"/>
      <w:ind w:left="142"/>
    </w:pPr>
    <w:rPr>
      <w:rFonts w:ascii="Arial" w:eastAsia="Arial" w:hAnsi="Arial" w:cs="Arial"/>
      <w:sz w:val="20"/>
      <w:lang w:val="fr-FR"/>
    </w:rPr>
  </w:style>
  <w:style w:type="paragraph" w:styleId="Titre1">
    <w:name w:val="heading 1"/>
    <w:basedOn w:val="Normal"/>
    <w:next w:val="Normal"/>
    <w:link w:val="Titre1Car"/>
    <w:autoRedefine/>
    <w:uiPriority w:val="9"/>
    <w:qFormat/>
    <w:rsid w:val="00B73E82"/>
    <w:pPr>
      <w:spacing w:before="120"/>
      <w:ind w:left="502" w:hanging="360"/>
      <w:outlineLvl w:val="0"/>
    </w:pPr>
    <w:rPr>
      <w:b/>
      <w:color w:val="231F2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Cs w:val="20"/>
    </w:rPr>
  </w:style>
  <w:style w:type="paragraph" w:styleId="Titre">
    <w:name w:val="Title"/>
    <w:basedOn w:val="Normal"/>
    <w:uiPriority w:val="1"/>
    <w:qFormat/>
    <w:rsid w:val="00F44B55"/>
    <w:pPr>
      <w:spacing w:before="88"/>
      <w:ind w:left="6649"/>
    </w:pPr>
    <w:rPr>
      <w:b/>
      <w:bCs/>
      <w:color w:val="231F20"/>
      <w:sz w:val="36"/>
      <w:szCs w:val="36"/>
    </w:rPr>
  </w:style>
  <w:style w:type="paragraph" w:styleId="Paragraphedeliste">
    <w:name w:val="List Paragraph"/>
    <w:basedOn w:val="Normal"/>
    <w:uiPriority w:val="99"/>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30F0E"/>
    <w:pPr>
      <w:tabs>
        <w:tab w:val="center" w:pos="4536"/>
        <w:tab w:val="right" w:pos="9072"/>
      </w:tabs>
    </w:pPr>
  </w:style>
  <w:style w:type="character" w:customStyle="1" w:styleId="En-tteCar">
    <w:name w:val="En-tête Car"/>
    <w:basedOn w:val="Policepardfaut"/>
    <w:link w:val="En-tte"/>
    <w:uiPriority w:val="99"/>
    <w:rsid w:val="00330F0E"/>
    <w:rPr>
      <w:rFonts w:ascii="Arial" w:eastAsia="Arial" w:hAnsi="Arial" w:cs="Arial"/>
      <w:lang w:val="fr-FR"/>
    </w:rPr>
  </w:style>
  <w:style w:type="paragraph" w:styleId="Pieddepage">
    <w:name w:val="footer"/>
    <w:basedOn w:val="Normal"/>
    <w:link w:val="PieddepageCar"/>
    <w:uiPriority w:val="99"/>
    <w:unhideWhenUsed/>
    <w:rsid w:val="00330F0E"/>
    <w:pPr>
      <w:tabs>
        <w:tab w:val="center" w:pos="4536"/>
        <w:tab w:val="right" w:pos="9072"/>
      </w:tabs>
    </w:pPr>
  </w:style>
  <w:style w:type="character" w:customStyle="1" w:styleId="PieddepageCar">
    <w:name w:val="Pied de page Car"/>
    <w:basedOn w:val="Policepardfaut"/>
    <w:link w:val="Pieddepage"/>
    <w:uiPriority w:val="99"/>
    <w:rsid w:val="00330F0E"/>
    <w:rPr>
      <w:rFonts w:ascii="Arial" w:eastAsia="Arial" w:hAnsi="Arial" w:cs="Arial"/>
      <w:lang w:val="fr-FR"/>
    </w:rPr>
  </w:style>
  <w:style w:type="character" w:customStyle="1" w:styleId="Titre1Car">
    <w:name w:val="Titre 1 Car"/>
    <w:basedOn w:val="Policepardfaut"/>
    <w:link w:val="Titre1"/>
    <w:uiPriority w:val="9"/>
    <w:rsid w:val="00B73E82"/>
    <w:rPr>
      <w:rFonts w:ascii="Arial" w:eastAsia="Arial" w:hAnsi="Arial" w:cs="Arial"/>
      <w:b/>
      <w:color w:val="231F20"/>
      <w:sz w:val="24"/>
      <w:u w:val="single"/>
      <w:lang w:val="fr-FR"/>
    </w:rPr>
  </w:style>
  <w:style w:type="paragraph" w:styleId="Sansinterligne">
    <w:name w:val="No Spacing"/>
    <w:uiPriority w:val="1"/>
    <w:qFormat/>
    <w:rsid w:val="000841FC"/>
    <w:pPr>
      <w:ind w:left="142"/>
    </w:pPr>
    <w:rPr>
      <w:rFonts w:ascii="Arial" w:eastAsia="Arial" w:hAnsi="Arial" w:cs="Arial"/>
      <w:sz w:val="20"/>
      <w:lang w:val="fr-FR"/>
    </w:rPr>
  </w:style>
  <w:style w:type="table" w:styleId="Grilledutableau">
    <w:name w:val="Table Grid"/>
    <w:basedOn w:val="TableauNormal"/>
    <w:uiPriority w:val="39"/>
    <w:rsid w:val="00D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02486">
      <w:bodyDiv w:val="1"/>
      <w:marLeft w:val="0"/>
      <w:marRight w:val="0"/>
      <w:marTop w:val="0"/>
      <w:marBottom w:val="0"/>
      <w:divBdr>
        <w:top w:val="none" w:sz="0" w:space="0" w:color="auto"/>
        <w:left w:val="none" w:sz="0" w:space="0" w:color="auto"/>
        <w:bottom w:val="none" w:sz="0" w:space="0" w:color="auto"/>
        <w:right w:val="none" w:sz="0" w:space="0" w:color="auto"/>
      </w:divBdr>
    </w:div>
    <w:div w:id="65788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fr-FR" sz="1800" b="1" i="0" baseline="0">
                <a:effectLst/>
                <a:latin typeface="Arial" panose="020B0604020202020204" pitchFamily="34" charset="0"/>
                <a:cs typeface="Arial" panose="020B0604020202020204" pitchFamily="34" charset="0"/>
              </a:rPr>
              <a:t>Répartition des dépenses réelles de fonctionnement (en €)</a:t>
            </a:r>
            <a:endParaRPr lang="fr-FR">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layout>
                <c:manualLayout>
                  <c:x val="-7.3459589103086254E-2"/>
                  <c:y val="0.1134041384361838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9362234893052233E-2"/>
                  <c:y val="-0.12846407392278111"/>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7433855250852267E-2"/>
                  <c:y val="-0.1146232727170284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0015868706066915"/>
                  <c:y val="1.0170016762215993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3.2191148520228037E-2"/>
                  <c:y val="0.10053455974532698"/>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'DF MF'!$C$24:$C$28</c:f>
              <c:strCache>
                <c:ptCount val="5"/>
                <c:pt idx="0">
                  <c:v>Location des barnums</c:v>
                </c:pt>
                <c:pt idx="1">
                  <c:v>Prestation de montage et démontage des barnums </c:v>
                </c:pt>
                <c:pt idx="2">
                  <c:v>Prestation de médiation du marché forain</c:v>
                </c:pt>
                <c:pt idx="3">
                  <c:v>Charges de personnel</c:v>
                </c:pt>
                <c:pt idx="4">
                  <c:v>Autres dépenses de fonctionnement (animations, électricité, logiciel informatique, frais bancaires)</c:v>
                </c:pt>
              </c:strCache>
            </c:strRef>
          </c:cat>
          <c:val>
            <c:numRef>
              <c:f>'DF MF'!$D$24:$D$28</c:f>
              <c:numCache>
                <c:formatCode>"€"#,##0_);\("€"#,##0\)</c:formatCode>
                <c:ptCount val="5"/>
                <c:pt idx="0">
                  <c:v>122680</c:v>
                </c:pt>
                <c:pt idx="1">
                  <c:v>143500</c:v>
                </c:pt>
                <c:pt idx="2">
                  <c:v>80000</c:v>
                </c:pt>
                <c:pt idx="3">
                  <c:v>165000</c:v>
                </c:pt>
                <c:pt idx="4">
                  <c:v>47734.879999999997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630087187377439"/>
          <c:y val="0.29600030988970744"/>
          <c:w val="0.31730066069327539"/>
          <c:h val="0.5344153648951305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fr-FR" sz="1800" b="1" i="0" baseline="0">
                <a:effectLst/>
                <a:latin typeface="Arial" panose="020B0604020202020204" pitchFamily="34" charset="0"/>
                <a:cs typeface="Arial" panose="020B0604020202020204" pitchFamily="34" charset="0"/>
              </a:rPr>
              <a:t>Répartition des recettes de fonctionnement (en €)</a:t>
            </a:r>
            <a:endParaRPr lang="fr-FR">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0.11701133288571487"/>
                  <c:y val="0.1146763971576723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3.6848765997273644E-2"/>
                  <c:y val="-0.16828340055054095"/>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4388085210278947"/>
                  <c:y val="8.1613853146405485E-2"/>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('RF MF'!$C$5:$C$6,'RF MF'!$C$9)</c:f>
              <c:strCache>
                <c:ptCount val="3"/>
                <c:pt idx="0">
                  <c:v>Reprise du résultat antérieur</c:v>
                </c:pt>
                <c:pt idx="1">
                  <c:v>Droits de place payés par les commerçants</c:v>
                </c:pt>
                <c:pt idx="2">
                  <c:v>Subvention versée par la ville</c:v>
                </c:pt>
              </c:strCache>
            </c:strRef>
          </c:cat>
          <c:val>
            <c:numRef>
              <c:f>('RF MF'!$D$5:$D$6,'RF MF'!$D$9)</c:f>
              <c:numCache>
                <c:formatCode>#,##0\ "€"</c:formatCode>
                <c:ptCount val="3"/>
                <c:pt idx="0">
                  <c:v>140914.88</c:v>
                </c:pt>
                <c:pt idx="1">
                  <c:v>260000</c:v>
                </c:pt>
                <c:pt idx="2">
                  <c:v>160000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612545772204009"/>
          <c:y val="0.42903887870180613"/>
          <c:w val="0.33588062130531554"/>
          <c:h val="0.295651314133678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latin typeface="Arial" panose="020B0604020202020204" pitchFamily="34" charset="0"/>
                <a:cs typeface="Arial" panose="020B0604020202020204" pitchFamily="34" charset="0"/>
              </a:rPr>
              <a:t>Dépenses d'investissement (en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3.9175767091613502E-2"/>
                  <c:y val="8.673753280839895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8.9311988263179515E-2"/>
                  <c:y val="-0.227977555955111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1169658480189976E-2"/>
                  <c:y val="0.10590649606299209"/>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'DI MF'!$C$5:$C$7</c:f>
              <c:strCache>
                <c:ptCount val="3"/>
                <c:pt idx="0">
                  <c:v>Solde d'investissement antérieur</c:v>
                </c:pt>
                <c:pt idx="1">
                  <c:v>Travaux d'électrification sur la place du marché </c:v>
                </c:pt>
                <c:pt idx="2">
                  <c:v>Installation de douilles pour la fixation des barnums</c:v>
                </c:pt>
              </c:strCache>
            </c:strRef>
          </c:cat>
          <c:val>
            <c:numRef>
              <c:f>'DI MF'!$D$5:$D$7</c:f>
              <c:numCache>
                <c:formatCode>"€"#,##0_);\("€"#,##0\)</c:formatCode>
                <c:ptCount val="3"/>
                <c:pt idx="0">
                  <c:v>1161</c:v>
                </c:pt>
                <c:pt idx="1">
                  <c:v>133038</c:v>
                </c:pt>
                <c:pt idx="2">
                  <c:v>1380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225795994250732"/>
          <c:y val="0.38333923884514437"/>
          <c:w val="0.33805950037495314"/>
          <c:h val="0.3237381889763779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latin typeface="Arial" panose="020B0604020202020204" pitchFamily="34" charset="0"/>
                <a:cs typeface="Arial" panose="020B0604020202020204" pitchFamily="34" charset="0"/>
              </a:rPr>
              <a:t>Recettes d'investissement (en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9.7753427674687511E-3"/>
                  <c:y val="0.1027247493343907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8.9311988263179515E-2"/>
                  <c:y val="-0.227977555955111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1169658480189976E-2"/>
                  <c:y val="0.10590649606299209"/>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'RI MF'!$C$5:$C$6</c:f>
              <c:strCache>
                <c:ptCount val="2"/>
                <c:pt idx="0">
                  <c:v>Reprise de l'excédent antérieur</c:v>
                </c:pt>
                <c:pt idx="1">
                  <c:v>Subvention d'investissement de la ville</c:v>
                </c:pt>
              </c:strCache>
            </c:strRef>
          </c:cat>
          <c:val>
            <c:numRef>
              <c:f>'RI MF'!$D$5:$D$6</c:f>
              <c:numCache>
                <c:formatCode>"€"#,##0_);\("€"#,##0\)</c:formatCode>
                <c:ptCount val="2"/>
                <c:pt idx="0">
                  <c:v>2541.0100000000002</c:v>
                </c:pt>
                <c:pt idx="1">
                  <c:v>131038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225795994250732"/>
          <c:y val="0.38333923884514437"/>
          <c:w val="0.33805950037495314"/>
          <c:h val="0.3237381889763779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0EA3-6732-4D38-8749-4CC0C35C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2649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LUTAUD Charline</dc:creator>
  <cp:lastModifiedBy>PIARD Esteban</cp:lastModifiedBy>
  <cp:revision>2</cp:revision>
  <dcterms:created xsi:type="dcterms:W3CDTF">2025-04-19T18:08:00Z</dcterms:created>
  <dcterms:modified xsi:type="dcterms:W3CDTF">2025-04-19T18:08:00Z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18.1 (Windows)</vt:lpwstr>
  </property>
  <property fmtid="{D5CDD505-2E9C-101B-9397-08002B2CF9AE}" pid="4" name="LastSaved">
    <vt:filetime>2023-03-20T00:00:00Z</vt:filetime>
  </property>
  <property fmtid="{D5CDD505-2E9C-101B-9397-08002B2CF9AE}" pid="5" name="Producer">
    <vt:lpwstr>Adobe PDF Library 17.0</vt:lpwstr>
  </property>
</Properties>
</file>