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DB" w:rsidRDefault="00394336">
      <w:pPr>
        <w:pStyle w:val="Corpsdetexte"/>
        <w:rPr>
          <w:rFonts w:ascii="Times New Roman"/>
        </w:rPr>
      </w:pPr>
      <w:r>
        <w:rPr>
          <w:noProof/>
          <w:lang w:eastAsia="fr-FR"/>
        </w:rPr>
        <w:drawing>
          <wp:anchor distT="0" distB="0" distL="0" distR="0" simplePos="0" relativeHeight="15730176" behindDoc="0" locked="0" layoutInCell="1" allowOverlap="1">
            <wp:simplePos x="0" y="0"/>
            <wp:positionH relativeFrom="page">
              <wp:posOffset>0</wp:posOffset>
            </wp:positionH>
            <wp:positionV relativeFrom="page">
              <wp:posOffset>12</wp:posOffset>
            </wp:positionV>
            <wp:extent cx="2267999" cy="19025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67999" cy="1902599"/>
                    </a:xfrm>
                    <a:prstGeom prst="rect">
                      <a:avLst/>
                    </a:prstGeom>
                  </pic:spPr>
                </pic:pic>
              </a:graphicData>
            </a:graphic>
          </wp:anchor>
        </w:drawing>
      </w: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pPr>
        <w:pStyle w:val="Corpsdetexte"/>
        <w:rPr>
          <w:rFonts w:ascii="Times New Roman"/>
        </w:rPr>
      </w:pPr>
    </w:p>
    <w:p w:rsidR="00F515DB" w:rsidRDefault="00F515DB" w:rsidP="0055390D">
      <w:pPr>
        <w:pStyle w:val="Corpsdetexte"/>
        <w:ind w:left="0"/>
        <w:rPr>
          <w:rFonts w:ascii="Times New Roman"/>
        </w:rPr>
      </w:pPr>
    </w:p>
    <w:p w:rsidR="00F515DB" w:rsidRDefault="00F515DB">
      <w:pPr>
        <w:pStyle w:val="Corpsdetexte"/>
        <w:spacing w:before="3"/>
        <w:rPr>
          <w:rFonts w:ascii="Times New Roman"/>
          <w:sz w:val="24"/>
        </w:rPr>
      </w:pPr>
    </w:p>
    <w:p w:rsidR="00090613" w:rsidRDefault="0038355B" w:rsidP="00090613">
      <w:pPr>
        <w:pStyle w:val="Titre"/>
        <w:ind w:left="0" w:right="-280"/>
        <w:jc w:val="right"/>
      </w:pPr>
      <w:r>
        <w:t>NOTE DE PRESENTATION BREVE ET SYNTHETIQUE</w:t>
      </w:r>
      <w:r w:rsidR="00090613">
        <w:t xml:space="preserve"> DU </w:t>
      </w:r>
    </w:p>
    <w:p w:rsidR="00EE5CF4" w:rsidRPr="00F44B55" w:rsidRDefault="00090613" w:rsidP="00090613">
      <w:pPr>
        <w:pStyle w:val="Titre"/>
        <w:ind w:left="0" w:right="-280"/>
        <w:jc w:val="right"/>
      </w:pPr>
      <w:r>
        <w:t>COMPTE ADMINISTRATIF 2022</w:t>
      </w:r>
      <w:r w:rsidR="0038355B">
        <w:t xml:space="preserve"> – BUDGET PRINCIPAL VILLE</w:t>
      </w:r>
    </w:p>
    <w:p w:rsidR="00F515DB" w:rsidRDefault="009F2920">
      <w:pPr>
        <w:pStyle w:val="Corpsdetexte"/>
        <w:spacing w:before="3"/>
        <w:rPr>
          <w:b/>
          <w:sz w:val="11"/>
        </w:rPr>
      </w:pPr>
      <w:r>
        <w:rPr>
          <w:noProof/>
          <w:lang w:eastAsia="fr-FR"/>
        </w:rPr>
        <mc:AlternateContent>
          <mc:Choice Requires="wps">
            <w:drawing>
              <wp:anchor distT="0" distB="0" distL="0" distR="0" simplePos="0" relativeHeight="487587840" behindDoc="1" locked="0" layoutInCell="1" allowOverlap="1">
                <wp:simplePos x="0" y="0"/>
                <wp:positionH relativeFrom="page">
                  <wp:posOffset>3914775</wp:posOffset>
                </wp:positionH>
                <wp:positionV relativeFrom="paragraph">
                  <wp:posOffset>97790</wp:posOffset>
                </wp:positionV>
                <wp:extent cx="3033395"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3395" cy="1270"/>
                        </a:xfrm>
                        <a:custGeom>
                          <a:avLst/>
                          <a:gdLst>
                            <a:gd name="T0" fmla="+- 0 6165 6165"/>
                            <a:gd name="T1" fmla="*/ T0 w 4777"/>
                            <a:gd name="T2" fmla="+- 0 10942 6165"/>
                            <a:gd name="T3" fmla="*/ T2 w 4777"/>
                          </a:gdLst>
                          <a:ahLst/>
                          <a:cxnLst>
                            <a:cxn ang="0">
                              <a:pos x="T1" y="0"/>
                            </a:cxn>
                            <a:cxn ang="0">
                              <a:pos x="T3" y="0"/>
                            </a:cxn>
                          </a:cxnLst>
                          <a:rect l="0" t="0" r="r" b="b"/>
                          <a:pathLst>
                            <a:path w="4777">
                              <a:moveTo>
                                <a:pt x="0" y="0"/>
                              </a:moveTo>
                              <a:lnTo>
                                <a:pt x="4777"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EBB5E" id="docshape1" o:spid="_x0000_s1026" style="position:absolute;margin-left:308.25pt;margin-top:7.7pt;width:238.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" path="m,l4777,e" filled="f" strokecolor="#231f20" strokeweight="3pt">
                <v:path arrowok="t" o:connecttype="custom" o:connectlocs="0,0;3033395,0" o:connectangles="0,0"/>
                <w10:wrap type="topAndBottom" anchorx="page"/>
              </v:shape>
            </w:pict>
          </mc:Fallback>
        </mc:AlternateContent>
      </w:r>
    </w:p>
    <w:p w:rsidR="00F515DB" w:rsidRDefault="00F515DB" w:rsidP="00A26D9F"/>
    <w:p w:rsidR="0038355B" w:rsidRDefault="0038355B">
      <w:pPr>
        <w:pStyle w:val="Corpsdetexte"/>
        <w:rPr>
          <w:b/>
          <w:sz w:val="16"/>
        </w:rPr>
      </w:pPr>
    </w:p>
    <w:p w:rsidR="00F515DB" w:rsidRPr="0038355B" w:rsidRDefault="00394336" w:rsidP="0038355B">
      <w:pPr>
        <w:spacing w:before="94"/>
        <w:jc w:val="both"/>
        <w:rPr>
          <w:color w:val="231F20"/>
        </w:rPr>
      </w:pPr>
      <w:r>
        <w:rPr>
          <w:b/>
          <w:color w:val="231F20"/>
        </w:rPr>
        <w:t>Objet :</w:t>
      </w:r>
      <w:r>
        <w:rPr>
          <w:b/>
          <w:color w:val="231F20"/>
          <w:spacing w:val="-1"/>
        </w:rPr>
        <w:t xml:space="preserve"> </w:t>
      </w:r>
      <w:r w:rsidR="0038355B" w:rsidRPr="0038355B">
        <w:rPr>
          <w:color w:val="231F20"/>
        </w:rPr>
        <w:t xml:space="preserve">Note de synthèse à destination des citoyens retraçant les informations financières essentielles du </w:t>
      </w:r>
      <w:r w:rsidR="00086042">
        <w:rPr>
          <w:color w:val="231F20"/>
        </w:rPr>
        <w:t>compte administratif 2022</w:t>
      </w:r>
      <w:r w:rsidR="0038355B" w:rsidRPr="0038355B">
        <w:rPr>
          <w:color w:val="231F20"/>
        </w:rPr>
        <w:t xml:space="preserve"> de la ville</w:t>
      </w:r>
    </w:p>
    <w:p w:rsidR="00F515DB" w:rsidRDefault="009F2920" w:rsidP="00A26D9F">
      <w:r>
        <w:rPr>
          <w:noProof/>
          <w:lang w:eastAsia="fr-FR"/>
        </w:rPr>
        <mc:AlternateContent>
          <mc:Choice Requires="wps">
            <w:drawing>
              <wp:anchor distT="0" distB="0" distL="0" distR="0" simplePos="0" relativeHeight="487588352" behindDoc="1" locked="0" layoutInCell="1" allowOverlap="1">
                <wp:simplePos x="0" y="0"/>
                <wp:positionH relativeFrom="page">
                  <wp:posOffset>612140</wp:posOffset>
                </wp:positionH>
                <wp:positionV relativeFrom="paragraph">
                  <wp:posOffset>152400</wp:posOffset>
                </wp:positionV>
                <wp:extent cx="18034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1270"/>
                        </a:xfrm>
                        <a:custGeom>
                          <a:avLst/>
                          <a:gdLst>
                            <a:gd name="T0" fmla="+- 0 964 964"/>
                            <a:gd name="T1" fmla="*/ T0 w 284"/>
                            <a:gd name="T2" fmla="+- 0 1247 964"/>
                            <a:gd name="T3" fmla="*/ T2 w 284"/>
                          </a:gdLst>
                          <a:ahLst/>
                          <a:cxnLst>
                            <a:cxn ang="0">
                              <a:pos x="T1" y="0"/>
                            </a:cxn>
                            <a:cxn ang="0">
                              <a:pos x="T3" y="0"/>
                            </a:cxn>
                          </a:cxnLst>
                          <a:rect l="0" t="0" r="r" b="b"/>
                          <a:pathLst>
                            <a:path w="284">
                              <a:moveTo>
                                <a:pt x="0" y="0"/>
                              </a:moveTo>
                              <a:lnTo>
                                <a:pt x="283" y="0"/>
                              </a:lnTo>
                            </a:path>
                          </a:pathLst>
                        </a:custGeom>
                        <a:noFill/>
                        <a:ln w="381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5566" id="docshape2" o:spid="_x0000_s1026" style="position:absolute;margin-left:48.2pt;margin-top:12pt;width:14.2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" path="m,l283,e" filled="f" strokecolor="#231f20" strokeweight="3pt">
                <v:path arrowok="t" o:connecttype="custom" o:connectlocs="0,0;179705,0" o:connectangles="0,0"/>
                <w10:wrap type="topAndBottom" anchorx="page"/>
              </v:shape>
            </w:pict>
          </mc:Fallback>
        </mc:AlternateContent>
      </w:r>
    </w:p>
    <w:p w:rsidR="0038355B" w:rsidRPr="0038355B" w:rsidRDefault="0038355B" w:rsidP="00A26D9F">
      <w:pPr>
        <w:rPr>
          <w:szCs w:val="20"/>
        </w:rPr>
      </w:pPr>
    </w:p>
    <w:p w:rsidR="0038355B" w:rsidRPr="0038355B" w:rsidRDefault="0038355B" w:rsidP="0038355B">
      <w:pPr>
        <w:jc w:val="both"/>
        <w:rPr>
          <w:szCs w:val="20"/>
        </w:rPr>
      </w:pPr>
      <w:r w:rsidRPr="0038355B">
        <w:rPr>
          <w:szCs w:val="20"/>
        </w:rPr>
        <w:t xml:space="preserve">Cette note a pour objet une présentation brève et synthétique </w:t>
      </w:r>
      <w:r w:rsidR="005A5150">
        <w:rPr>
          <w:szCs w:val="20"/>
        </w:rPr>
        <w:t xml:space="preserve">du </w:t>
      </w:r>
      <w:r w:rsidR="00381844">
        <w:rPr>
          <w:color w:val="231F20"/>
        </w:rPr>
        <w:t>compte administratif 2022</w:t>
      </w:r>
      <w:r w:rsidR="00381844">
        <w:rPr>
          <w:color w:val="231F20"/>
        </w:rPr>
        <w:t xml:space="preserve"> </w:t>
      </w:r>
      <w:r w:rsidRPr="0038355B">
        <w:rPr>
          <w:szCs w:val="20"/>
        </w:rPr>
        <w:t>de la ville, en retraçant les informations financières essentielles, afin de permettre aux citoyens d’en saisir les enjeux.</w:t>
      </w:r>
    </w:p>
    <w:p w:rsidR="0038355B" w:rsidRPr="0038355B" w:rsidRDefault="0038355B" w:rsidP="0038355B">
      <w:pPr>
        <w:jc w:val="both"/>
        <w:rPr>
          <w:szCs w:val="20"/>
        </w:rPr>
      </w:pPr>
    </w:p>
    <w:p w:rsidR="00D7625B" w:rsidRDefault="0038355B" w:rsidP="0038355B">
      <w:pPr>
        <w:jc w:val="both"/>
        <w:rPr>
          <w:color w:val="231F20"/>
        </w:rPr>
      </w:pPr>
      <w:r w:rsidRPr="00D7625B">
        <w:rPr>
          <w:color w:val="231F20"/>
        </w:rPr>
        <w:t xml:space="preserve">Le </w:t>
      </w:r>
      <w:r w:rsidR="00D7625B">
        <w:rPr>
          <w:color w:val="231F20"/>
        </w:rPr>
        <w:t xml:space="preserve">compte administratif </w:t>
      </w:r>
      <w:r w:rsidR="00D7625B" w:rsidRPr="00D7625B">
        <w:rPr>
          <w:color w:val="231F20"/>
        </w:rPr>
        <w:t>constitue l'arrêté des comptes de la collectivité territoriale pour l'exercice budgétaire N-1 et retrace ainsi l’ensemble des dépenses et des recettes réalisées pour l’année 202</w:t>
      </w:r>
      <w:r w:rsidR="00D7625B" w:rsidRPr="00D7625B">
        <w:rPr>
          <w:color w:val="231F20"/>
        </w:rPr>
        <w:t>2</w:t>
      </w:r>
      <w:r w:rsidR="00D7625B" w:rsidRPr="00D7625B">
        <w:rPr>
          <w:color w:val="231F20"/>
        </w:rPr>
        <w:t>.</w:t>
      </w:r>
    </w:p>
    <w:p w:rsidR="00D7625B" w:rsidRDefault="00D7625B" w:rsidP="0038355B">
      <w:pPr>
        <w:jc w:val="both"/>
        <w:rPr>
          <w:color w:val="231F20"/>
        </w:rPr>
      </w:pPr>
    </w:p>
    <w:p w:rsidR="00D7625B" w:rsidRPr="00D7625B" w:rsidRDefault="00D7625B" w:rsidP="00D7625B">
      <w:pPr>
        <w:jc w:val="both"/>
        <w:rPr>
          <w:color w:val="231F20"/>
        </w:rPr>
      </w:pPr>
      <w:r w:rsidRPr="00D7625B">
        <w:rPr>
          <w:color w:val="231F20"/>
        </w:rPr>
        <w:t xml:space="preserve">Le compte administratif </w:t>
      </w:r>
      <w:r>
        <w:rPr>
          <w:color w:val="231F20"/>
        </w:rPr>
        <w:t>termine</w:t>
      </w:r>
      <w:r w:rsidRPr="00D7625B">
        <w:rPr>
          <w:color w:val="231F20"/>
        </w:rPr>
        <w:t xml:space="preserve"> le cycle budgétaire annuel de la Ville. Il doit être voté par l’assemblée délibérante avant le 30 juin de l’année suivant celle à laquelle il se rapporte, et transmis au représentant de l’État dans les 15 jours qui suivent son approbation.</w:t>
      </w:r>
    </w:p>
    <w:p w:rsidR="00D7625B" w:rsidRDefault="00D7625B" w:rsidP="0038355B">
      <w:pPr>
        <w:jc w:val="both"/>
        <w:rPr>
          <w:color w:val="231F20"/>
        </w:rPr>
      </w:pPr>
    </w:p>
    <w:p w:rsidR="00D7625B" w:rsidRPr="00D7625B" w:rsidRDefault="00D7625B" w:rsidP="00D7625B">
      <w:pPr>
        <w:jc w:val="both"/>
        <w:rPr>
          <w:color w:val="231F20"/>
        </w:rPr>
      </w:pPr>
      <w:r w:rsidRPr="00D7625B">
        <w:rPr>
          <w:color w:val="231F20"/>
        </w:rPr>
        <w:t>Il faut noter qu’il existe, parallèlement au compte administratif, un compte de gestion qui constitue la restitution des comptes du comptable public. Le compte de gestion est également présenté à l’assemblée délibérante. Le conseil municipal peut ainsi s’assurer, par ce double contrôle, de l’identité des valeurs entre ces deux documents qui retracent la même comptabilité.</w:t>
      </w:r>
    </w:p>
    <w:p w:rsidR="00D7625B" w:rsidRPr="00D7625B" w:rsidRDefault="00D7625B" w:rsidP="00D7625B">
      <w:pPr>
        <w:jc w:val="both"/>
        <w:rPr>
          <w:color w:val="231F20"/>
        </w:rPr>
      </w:pPr>
    </w:p>
    <w:p w:rsidR="00D7625B" w:rsidRPr="00D7625B" w:rsidRDefault="00D7625B" w:rsidP="00D7625B">
      <w:pPr>
        <w:jc w:val="both"/>
        <w:rPr>
          <w:color w:val="231F20"/>
        </w:rPr>
      </w:pPr>
      <w:r w:rsidRPr="00D7625B">
        <w:rPr>
          <w:color w:val="231F20"/>
        </w:rPr>
        <w:t>A la différence des budgets qui doivent afficher un équilibre parfait entre les prévisions de recettes et de dépenses votées, les balances du compte administratif indiquent le résultat, déficitaire ou excédentaire.</w:t>
      </w:r>
    </w:p>
    <w:p w:rsidR="00D7625B" w:rsidRPr="00D7625B" w:rsidRDefault="00D7625B" w:rsidP="00D7625B">
      <w:pPr>
        <w:jc w:val="both"/>
        <w:rPr>
          <w:color w:val="231F20"/>
        </w:rPr>
      </w:pPr>
    </w:p>
    <w:p w:rsidR="00D7625B" w:rsidRPr="00D7625B" w:rsidRDefault="00D7625B" w:rsidP="00D7625B">
      <w:pPr>
        <w:jc w:val="both"/>
        <w:rPr>
          <w:color w:val="231F20"/>
        </w:rPr>
      </w:pPr>
      <w:r w:rsidRPr="00D7625B">
        <w:rPr>
          <w:color w:val="231F20"/>
        </w:rPr>
        <w:t>D’ailleurs, une fois le compte administratif adopté, le conseil municipal vote une délibération d’affectation des résultats</w:t>
      </w:r>
      <w:r w:rsidRPr="00D7625B">
        <w:rPr>
          <w:color w:val="231F20"/>
        </w:rPr>
        <w:t>. Ces derniers</w:t>
      </w:r>
      <w:r w:rsidRPr="00D7625B">
        <w:rPr>
          <w:color w:val="231F20"/>
        </w:rPr>
        <w:t xml:space="preserve"> sont intégrés au budget de l’année dans le cadre </w:t>
      </w:r>
      <w:r w:rsidRPr="00D7625B">
        <w:rPr>
          <w:color w:val="231F20"/>
        </w:rPr>
        <w:t>du budget supplémentaire</w:t>
      </w:r>
      <w:r w:rsidRPr="00D7625B">
        <w:rPr>
          <w:color w:val="231F20"/>
        </w:rPr>
        <w:t>.</w:t>
      </w:r>
    </w:p>
    <w:p w:rsidR="00D7625B" w:rsidRPr="00D7625B" w:rsidRDefault="00D7625B" w:rsidP="00D7625B">
      <w:pPr>
        <w:jc w:val="both"/>
        <w:rPr>
          <w:color w:val="231F20"/>
        </w:rPr>
      </w:pPr>
    </w:p>
    <w:p w:rsidR="00D7625B" w:rsidRPr="00D7625B" w:rsidRDefault="00D7625B" w:rsidP="00D7625B">
      <w:pPr>
        <w:jc w:val="both"/>
        <w:rPr>
          <w:color w:val="231F20"/>
        </w:rPr>
      </w:pPr>
      <w:r w:rsidRPr="00D7625B">
        <w:rPr>
          <w:color w:val="231F20"/>
        </w:rPr>
        <w:t>Le compte administratif 202</w:t>
      </w:r>
      <w:r w:rsidRPr="00D7625B">
        <w:rPr>
          <w:color w:val="231F20"/>
        </w:rPr>
        <w:t>2</w:t>
      </w:r>
      <w:r w:rsidRPr="00D7625B">
        <w:rPr>
          <w:color w:val="231F20"/>
        </w:rPr>
        <w:t xml:space="preserve"> a été voté le </w:t>
      </w:r>
      <w:r w:rsidRPr="00D7625B">
        <w:rPr>
          <w:color w:val="231F20"/>
        </w:rPr>
        <w:t>29</w:t>
      </w:r>
      <w:r w:rsidRPr="00D7625B">
        <w:rPr>
          <w:color w:val="231F20"/>
        </w:rPr>
        <w:t xml:space="preserve"> juin 202</w:t>
      </w:r>
      <w:r w:rsidRPr="00D7625B">
        <w:rPr>
          <w:color w:val="231F20"/>
        </w:rPr>
        <w:t>3</w:t>
      </w:r>
      <w:r w:rsidRPr="00D7625B">
        <w:rPr>
          <w:color w:val="231F20"/>
        </w:rPr>
        <w:t xml:space="preserve"> par le conseil municipal.</w:t>
      </w:r>
    </w:p>
    <w:p w:rsidR="00D7625B" w:rsidRDefault="00D7625B" w:rsidP="0038355B">
      <w:pPr>
        <w:jc w:val="both"/>
        <w:rPr>
          <w:color w:val="231F20"/>
        </w:rPr>
      </w:pPr>
    </w:p>
    <w:p w:rsidR="00DC2426" w:rsidRPr="00D7625B" w:rsidRDefault="00DC2426" w:rsidP="0038355B">
      <w:pPr>
        <w:jc w:val="both"/>
        <w:rPr>
          <w:color w:val="231F20"/>
        </w:rPr>
      </w:pPr>
    </w:p>
    <w:p w:rsidR="0038355B" w:rsidRPr="00B73E82" w:rsidRDefault="0038355B" w:rsidP="00B73E82">
      <w:pPr>
        <w:pStyle w:val="Titre1"/>
      </w:pPr>
      <w:r w:rsidRPr="00B73E82">
        <w:t xml:space="preserve">Le </w:t>
      </w:r>
      <w:r w:rsidR="00E4071D">
        <w:t>résultat global 2022</w:t>
      </w:r>
      <w:r w:rsidRPr="00B73E82">
        <w:t xml:space="preserve"> : </w:t>
      </w:r>
    </w:p>
    <w:p w:rsidR="002C65B9" w:rsidRDefault="002C65B9" w:rsidP="0038355B">
      <w:pPr>
        <w:jc w:val="both"/>
        <w:rPr>
          <w:szCs w:val="20"/>
        </w:rPr>
      </w:pPr>
    </w:p>
    <w:p w:rsidR="005E43B8" w:rsidRPr="001D3482" w:rsidRDefault="005E43B8" w:rsidP="005E43B8">
      <w:pPr>
        <w:jc w:val="both"/>
        <w:rPr>
          <w:szCs w:val="20"/>
        </w:rPr>
      </w:pPr>
      <w:r w:rsidRPr="001D3482">
        <w:rPr>
          <w:szCs w:val="20"/>
        </w:rPr>
        <w:t>Le résultat global (ou final) ajoute au résultat de clôture les restes à réaliser (opérations commencées au 31 décembre mais non terminées) en section d’investissement.</w:t>
      </w:r>
    </w:p>
    <w:p w:rsidR="005E43B8" w:rsidRDefault="005E43B8" w:rsidP="0038355B">
      <w:pPr>
        <w:jc w:val="both"/>
        <w:rPr>
          <w:szCs w:val="20"/>
        </w:rPr>
      </w:pPr>
    </w:p>
    <w:p w:rsidR="005E43B8" w:rsidRPr="00C06491" w:rsidRDefault="005E43B8" w:rsidP="005E43B8">
      <w:pPr>
        <w:jc w:val="both"/>
        <w:rPr>
          <w:szCs w:val="20"/>
        </w:rPr>
      </w:pPr>
    </w:p>
    <w:tbl>
      <w:tblPr>
        <w:tblW w:w="8520" w:type="dxa"/>
        <w:tblInd w:w="55" w:type="dxa"/>
        <w:tblCellMar>
          <w:left w:w="70" w:type="dxa"/>
          <w:right w:w="70" w:type="dxa"/>
        </w:tblCellMar>
        <w:tblLook w:val="04A0" w:firstRow="1" w:lastRow="0" w:firstColumn="1" w:lastColumn="0" w:noHBand="0" w:noVBand="1"/>
      </w:tblPr>
      <w:tblGrid>
        <w:gridCol w:w="2567"/>
        <w:gridCol w:w="2126"/>
        <w:gridCol w:w="1985"/>
        <w:gridCol w:w="1842"/>
      </w:tblGrid>
      <w:tr w:rsidR="005E43B8" w:rsidRPr="00C06491" w:rsidTr="00D50922">
        <w:trPr>
          <w:trHeight w:val="315"/>
        </w:trPr>
        <w:tc>
          <w:tcPr>
            <w:tcW w:w="2567" w:type="dxa"/>
            <w:tcBorders>
              <w:top w:val="nil"/>
              <w:left w:val="nil"/>
              <w:bottom w:val="nil"/>
              <w:right w:val="nil"/>
            </w:tcBorders>
            <w:shd w:val="clear" w:color="auto" w:fill="auto"/>
            <w:noWrap/>
            <w:vAlign w:val="center"/>
            <w:hideMark/>
          </w:tcPr>
          <w:p w:rsidR="005E43B8" w:rsidRPr="00C06491" w:rsidRDefault="005E43B8" w:rsidP="00D50922">
            <w:pPr>
              <w:jc w:val="center"/>
              <w:rPr>
                <w:color w:val="000000"/>
                <w:szCs w:val="20"/>
              </w:rPr>
            </w:pPr>
          </w:p>
        </w:tc>
        <w:tc>
          <w:tcPr>
            <w:tcW w:w="2126" w:type="dxa"/>
            <w:tcBorders>
              <w:top w:val="single" w:sz="4" w:space="0" w:color="auto"/>
              <w:left w:val="single" w:sz="4" w:space="0" w:color="auto"/>
              <w:bottom w:val="nil"/>
              <w:right w:val="single" w:sz="4" w:space="0" w:color="auto"/>
            </w:tcBorders>
            <w:shd w:val="clear" w:color="auto" w:fill="D9D9D9"/>
            <w:noWrap/>
            <w:vAlign w:val="center"/>
            <w:hideMark/>
          </w:tcPr>
          <w:p w:rsidR="005E43B8" w:rsidRPr="00C06491" w:rsidRDefault="005E43B8" w:rsidP="00D50922">
            <w:pPr>
              <w:jc w:val="center"/>
              <w:rPr>
                <w:b/>
                <w:bCs/>
                <w:color w:val="000000"/>
                <w:szCs w:val="20"/>
              </w:rPr>
            </w:pPr>
            <w:r w:rsidRPr="00C06491">
              <w:rPr>
                <w:b/>
                <w:bCs/>
                <w:color w:val="000000"/>
                <w:szCs w:val="20"/>
              </w:rPr>
              <w:t>Fonctionnement</w:t>
            </w:r>
          </w:p>
        </w:tc>
        <w:tc>
          <w:tcPr>
            <w:tcW w:w="1985" w:type="dxa"/>
            <w:tcBorders>
              <w:top w:val="single" w:sz="4" w:space="0" w:color="auto"/>
              <w:left w:val="nil"/>
              <w:bottom w:val="nil"/>
              <w:right w:val="single" w:sz="4" w:space="0" w:color="auto"/>
            </w:tcBorders>
            <w:shd w:val="clear" w:color="auto" w:fill="D9D9D9"/>
            <w:noWrap/>
            <w:vAlign w:val="center"/>
            <w:hideMark/>
          </w:tcPr>
          <w:p w:rsidR="005E43B8" w:rsidRPr="00C06491" w:rsidRDefault="005E43B8" w:rsidP="00D50922">
            <w:pPr>
              <w:jc w:val="center"/>
              <w:rPr>
                <w:b/>
                <w:bCs/>
                <w:color w:val="000000"/>
                <w:szCs w:val="20"/>
              </w:rPr>
            </w:pPr>
            <w:r w:rsidRPr="00C06491">
              <w:rPr>
                <w:b/>
                <w:bCs/>
                <w:color w:val="000000"/>
                <w:szCs w:val="20"/>
              </w:rPr>
              <w:t>Investissement</w:t>
            </w:r>
          </w:p>
        </w:tc>
        <w:tc>
          <w:tcPr>
            <w:tcW w:w="1842" w:type="dxa"/>
            <w:tcBorders>
              <w:top w:val="single" w:sz="4" w:space="0" w:color="auto"/>
              <w:left w:val="nil"/>
              <w:bottom w:val="nil"/>
              <w:right w:val="single" w:sz="4" w:space="0" w:color="auto"/>
            </w:tcBorders>
            <w:shd w:val="clear" w:color="auto" w:fill="D9D9D9"/>
            <w:noWrap/>
            <w:vAlign w:val="center"/>
            <w:hideMark/>
          </w:tcPr>
          <w:p w:rsidR="005E43B8" w:rsidRPr="00C06491" w:rsidRDefault="005E43B8" w:rsidP="00D50922">
            <w:pPr>
              <w:jc w:val="center"/>
              <w:rPr>
                <w:b/>
                <w:bCs/>
                <w:color w:val="000000"/>
                <w:szCs w:val="20"/>
              </w:rPr>
            </w:pPr>
            <w:r w:rsidRPr="00C06491">
              <w:rPr>
                <w:b/>
                <w:bCs/>
                <w:color w:val="000000"/>
                <w:szCs w:val="20"/>
              </w:rPr>
              <w:t>Total</w:t>
            </w:r>
          </w:p>
        </w:tc>
      </w:tr>
      <w:tr w:rsidR="005E43B8" w:rsidRPr="00C06491" w:rsidTr="00D50922">
        <w:trPr>
          <w:trHeight w:val="315"/>
        </w:trPr>
        <w:tc>
          <w:tcPr>
            <w:tcW w:w="2567" w:type="dxa"/>
            <w:tcBorders>
              <w:top w:val="single" w:sz="4" w:space="0" w:color="auto"/>
              <w:left w:val="single" w:sz="4" w:space="0" w:color="auto"/>
              <w:bottom w:val="nil"/>
              <w:right w:val="nil"/>
            </w:tcBorders>
            <w:shd w:val="clear" w:color="auto" w:fill="auto"/>
            <w:noWrap/>
            <w:vAlign w:val="center"/>
            <w:hideMark/>
          </w:tcPr>
          <w:p w:rsidR="005E43B8" w:rsidRPr="00C06491" w:rsidRDefault="005E43B8" w:rsidP="00D50922">
            <w:pPr>
              <w:rPr>
                <w:color w:val="000000"/>
                <w:szCs w:val="20"/>
              </w:rPr>
            </w:pPr>
            <w:r w:rsidRPr="00C06491">
              <w:rPr>
                <w:color w:val="000000"/>
                <w:szCs w:val="20"/>
              </w:rPr>
              <w:t>Recettes de l'exercice</w:t>
            </w:r>
          </w:p>
        </w:tc>
        <w:tc>
          <w:tcPr>
            <w:tcW w:w="2126" w:type="dxa"/>
            <w:tcBorders>
              <w:top w:val="single" w:sz="4" w:space="0" w:color="auto"/>
              <w:left w:val="single" w:sz="4" w:space="0" w:color="auto"/>
              <w:bottom w:val="nil"/>
              <w:right w:val="single" w:sz="4" w:space="0" w:color="auto"/>
            </w:tcBorders>
            <w:shd w:val="clear" w:color="auto" w:fill="auto"/>
            <w:noWrap/>
            <w:vAlign w:val="center"/>
            <w:hideMark/>
          </w:tcPr>
          <w:p w:rsidR="005E43B8" w:rsidRPr="00C06491" w:rsidRDefault="005E43B8" w:rsidP="00D50922">
            <w:pPr>
              <w:jc w:val="right"/>
              <w:rPr>
                <w:color w:val="000000"/>
                <w:szCs w:val="20"/>
              </w:rPr>
            </w:pPr>
            <w:r w:rsidRPr="00C06491">
              <w:rPr>
                <w:color w:val="000000"/>
                <w:szCs w:val="20"/>
              </w:rPr>
              <w:t>47 104 951,66</w:t>
            </w:r>
          </w:p>
        </w:tc>
        <w:tc>
          <w:tcPr>
            <w:tcW w:w="1985" w:type="dxa"/>
            <w:tcBorders>
              <w:top w:val="single" w:sz="4" w:space="0" w:color="auto"/>
              <w:left w:val="nil"/>
              <w:bottom w:val="nil"/>
              <w:right w:val="single" w:sz="4" w:space="0" w:color="auto"/>
            </w:tcBorders>
            <w:shd w:val="clear" w:color="auto" w:fill="auto"/>
            <w:noWrap/>
            <w:vAlign w:val="center"/>
            <w:hideMark/>
          </w:tcPr>
          <w:p w:rsidR="005E43B8" w:rsidRPr="00C06491" w:rsidRDefault="005E43B8" w:rsidP="00D50922">
            <w:pPr>
              <w:jc w:val="right"/>
              <w:rPr>
                <w:color w:val="000000"/>
                <w:szCs w:val="20"/>
              </w:rPr>
            </w:pPr>
            <w:r w:rsidRPr="00C06491">
              <w:rPr>
                <w:color w:val="000000"/>
                <w:szCs w:val="20"/>
              </w:rPr>
              <w:t>8 127 227,53</w:t>
            </w:r>
          </w:p>
        </w:tc>
        <w:tc>
          <w:tcPr>
            <w:tcW w:w="1842" w:type="dxa"/>
            <w:tcBorders>
              <w:top w:val="single" w:sz="4" w:space="0" w:color="auto"/>
              <w:left w:val="nil"/>
              <w:bottom w:val="nil"/>
              <w:right w:val="single" w:sz="4" w:space="0" w:color="auto"/>
            </w:tcBorders>
            <w:shd w:val="clear" w:color="auto" w:fill="auto"/>
            <w:noWrap/>
            <w:vAlign w:val="center"/>
            <w:hideMark/>
          </w:tcPr>
          <w:p w:rsidR="005E43B8" w:rsidRPr="00C06491" w:rsidRDefault="005E43B8" w:rsidP="00D50922">
            <w:pPr>
              <w:jc w:val="right"/>
              <w:rPr>
                <w:color w:val="000000"/>
                <w:szCs w:val="20"/>
              </w:rPr>
            </w:pPr>
            <w:r w:rsidRPr="00C06491">
              <w:rPr>
                <w:color w:val="000000"/>
                <w:szCs w:val="20"/>
              </w:rPr>
              <w:t>55 232 179,19</w:t>
            </w:r>
          </w:p>
        </w:tc>
      </w:tr>
      <w:tr w:rsidR="005E43B8" w:rsidRPr="00C06491" w:rsidTr="00D50922">
        <w:trPr>
          <w:trHeight w:val="315"/>
        </w:trPr>
        <w:tc>
          <w:tcPr>
            <w:tcW w:w="2567" w:type="dxa"/>
            <w:tcBorders>
              <w:top w:val="nil"/>
              <w:left w:val="single" w:sz="4" w:space="0" w:color="auto"/>
              <w:bottom w:val="single" w:sz="4" w:space="0" w:color="auto"/>
              <w:right w:val="nil"/>
            </w:tcBorders>
            <w:shd w:val="clear" w:color="auto" w:fill="auto"/>
            <w:noWrap/>
            <w:vAlign w:val="center"/>
            <w:hideMark/>
          </w:tcPr>
          <w:p w:rsidR="005E43B8" w:rsidRPr="00C06491" w:rsidRDefault="005E43B8" w:rsidP="00D50922">
            <w:pPr>
              <w:rPr>
                <w:color w:val="000000"/>
                <w:szCs w:val="20"/>
              </w:rPr>
            </w:pPr>
            <w:r w:rsidRPr="00C06491">
              <w:rPr>
                <w:color w:val="000000"/>
                <w:szCs w:val="20"/>
              </w:rPr>
              <w:t>Dépenses de l'exercice</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E43B8" w:rsidRPr="00C06491" w:rsidRDefault="005E43B8" w:rsidP="00D50922">
            <w:pPr>
              <w:jc w:val="right"/>
              <w:rPr>
                <w:color w:val="000000"/>
                <w:szCs w:val="20"/>
              </w:rPr>
            </w:pPr>
            <w:r w:rsidRPr="00C06491">
              <w:rPr>
                <w:color w:val="000000"/>
                <w:szCs w:val="20"/>
              </w:rPr>
              <w:t>45 136 468,90</w:t>
            </w:r>
          </w:p>
        </w:tc>
        <w:tc>
          <w:tcPr>
            <w:tcW w:w="1985" w:type="dxa"/>
            <w:tcBorders>
              <w:top w:val="nil"/>
              <w:left w:val="nil"/>
              <w:bottom w:val="single" w:sz="4" w:space="0" w:color="auto"/>
              <w:right w:val="single" w:sz="4" w:space="0" w:color="auto"/>
            </w:tcBorders>
            <w:shd w:val="clear" w:color="auto" w:fill="auto"/>
            <w:noWrap/>
            <w:vAlign w:val="center"/>
            <w:hideMark/>
          </w:tcPr>
          <w:p w:rsidR="005E43B8" w:rsidRPr="00C06491" w:rsidRDefault="005E43B8" w:rsidP="00D50922">
            <w:pPr>
              <w:jc w:val="right"/>
              <w:rPr>
                <w:color w:val="000000"/>
                <w:szCs w:val="20"/>
              </w:rPr>
            </w:pPr>
            <w:r w:rsidRPr="00C06491">
              <w:rPr>
                <w:color w:val="000000"/>
                <w:szCs w:val="20"/>
              </w:rPr>
              <w:t>7 217 446,40</w:t>
            </w:r>
          </w:p>
        </w:tc>
        <w:tc>
          <w:tcPr>
            <w:tcW w:w="1842" w:type="dxa"/>
            <w:tcBorders>
              <w:top w:val="nil"/>
              <w:left w:val="nil"/>
              <w:bottom w:val="single" w:sz="4" w:space="0" w:color="auto"/>
              <w:right w:val="single" w:sz="4" w:space="0" w:color="auto"/>
            </w:tcBorders>
            <w:shd w:val="clear" w:color="auto" w:fill="auto"/>
            <w:noWrap/>
            <w:vAlign w:val="center"/>
            <w:hideMark/>
          </w:tcPr>
          <w:p w:rsidR="005E43B8" w:rsidRPr="00C06491" w:rsidRDefault="005E43B8" w:rsidP="00D50922">
            <w:pPr>
              <w:jc w:val="right"/>
              <w:rPr>
                <w:color w:val="000000"/>
                <w:szCs w:val="20"/>
              </w:rPr>
            </w:pPr>
            <w:r w:rsidRPr="00C06491">
              <w:rPr>
                <w:color w:val="000000"/>
                <w:szCs w:val="20"/>
              </w:rPr>
              <w:t>52 353 915,30</w:t>
            </w:r>
          </w:p>
        </w:tc>
      </w:tr>
      <w:tr w:rsidR="005E43B8" w:rsidRPr="00C06491" w:rsidTr="00D50922">
        <w:trPr>
          <w:trHeight w:val="315"/>
        </w:trPr>
        <w:tc>
          <w:tcPr>
            <w:tcW w:w="2567" w:type="dxa"/>
            <w:tcBorders>
              <w:top w:val="nil"/>
              <w:left w:val="single" w:sz="4" w:space="0" w:color="auto"/>
              <w:bottom w:val="single" w:sz="4" w:space="0" w:color="auto"/>
              <w:right w:val="single" w:sz="4" w:space="0" w:color="auto"/>
            </w:tcBorders>
            <w:shd w:val="clear" w:color="auto" w:fill="BDD6EE"/>
            <w:noWrap/>
            <w:vAlign w:val="center"/>
            <w:hideMark/>
          </w:tcPr>
          <w:p w:rsidR="005E43B8" w:rsidRPr="00C06491" w:rsidRDefault="005E43B8" w:rsidP="00D50922">
            <w:pPr>
              <w:jc w:val="center"/>
              <w:rPr>
                <w:b/>
                <w:bCs/>
                <w:color w:val="000000"/>
                <w:szCs w:val="20"/>
              </w:rPr>
            </w:pPr>
            <w:r w:rsidRPr="00C06491">
              <w:rPr>
                <w:b/>
                <w:bCs/>
                <w:color w:val="000000"/>
                <w:szCs w:val="20"/>
              </w:rPr>
              <w:t>Résultat de clôture</w:t>
            </w:r>
          </w:p>
        </w:tc>
        <w:tc>
          <w:tcPr>
            <w:tcW w:w="2126" w:type="dxa"/>
            <w:tcBorders>
              <w:top w:val="nil"/>
              <w:left w:val="nil"/>
              <w:bottom w:val="single" w:sz="4" w:space="0" w:color="auto"/>
              <w:right w:val="single" w:sz="4" w:space="0" w:color="auto"/>
            </w:tcBorders>
            <w:shd w:val="clear" w:color="auto" w:fill="BDD6EE"/>
            <w:noWrap/>
            <w:vAlign w:val="center"/>
            <w:hideMark/>
          </w:tcPr>
          <w:p w:rsidR="005E43B8" w:rsidRPr="00C06491" w:rsidRDefault="005E43B8" w:rsidP="00D50922">
            <w:pPr>
              <w:jc w:val="right"/>
              <w:rPr>
                <w:b/>
                <w:bCs/>
                <w:color w:val="000000"/>
                <w:szCs w:val="20"/>
              </w:rPr>
            </w:pPr>
            <w:r w:rsidRPr="00C06491">
              <w:rPr>
                <w:b/>
                <w:bCs/>
                <w:color w:val="000000"/>
                <w:szCs w:val="20"/>
              </w:rPr>
              <w:t>1 968 482,76</w:t>
            </w:r>
          </w:p>
        </w:tc>
        <w:tc>
          <w:tcPr>
            <w:tcW w:w="1985" w:type="dxa"/>
            <w:tcBorders>
              <w:top w:val="nil"/>
              <w:left w:val="nil"/>
              <w:bottom w:val="single" w:sz="4" w:space="0" w:color="auto"/>
              <w:right w:val="single" w:sz="4" w:space="0" w:color="auto"/>
            </w:tcBorders>
            <w:shd w:val="clear" w:color="auto" w:fill="BDD6EE"/>
            <w:noWrap/>
            <w:vAlign w:val="center"/>
            <w:hideMark/>
          </w:tcPr>
          <w:p w:rsidR="005E43B8" w:rsidRPr="00C06491" w:rsidRDefault="005E43B8" w:rsidP="00D50922">
            <w:pPr>
              <w:jc w:val="right"/>
              <w:rPr>
                <w:b/>
                <w:bCs/>
                <w:color w:val="000000"/>
                <w:szCs w:val="20"/>
              </w:rPr>
            </w:pPr>
            <w:r w:rsidRPr="00C06491">
              <w:rPr>
                <w:b/>
                <w:bCs/>
                <w:color w:val="000000"/>
                <w:szCs w:val="20"/>
              </w:rPr>
              <w:t>909 781,13</w:t>
            </w:r>
          </w:p>
        </w:tc>
        <w:tc>
          <w:tcPr>
            <w:tcW w:w="1842" w:type="dxa"/>
            <w:tcBorders>
              <w:top w:val="nil"/>
              <w:left w:val="nil"/>
              <w:bottom w:val="single" w:sz="4" w:space="0" w:color="auto"/>
              <w:right w:val="single" w:sz="4" w:space="0" w:color="auto"/>
            </w:tcBorders>
            <w:shd w:val="clear" w:color="auto" w:fill="BDD6EE"/>
            <w:noWrap/>
            <w:vAlign w:val="center"/>
            <w:hideMark/>
          </w:tcPr>
          <w:p w:rsidR="005E43B8" w:rsidRPr="00C06491" w:rsidRDefault="005E43B8" w:rsidP="00D50922">
            <w:pPr>
              <w:jc w:val="right"/>
              <w:rPr>
                <w:b/>
                <w:bCs/>
                <w:color w:val="000000"/>
                <w:szCs w:val="20"/>
              </w:rPr>
            </w:pPr>
            <w:r w:rsidRPr="00C06491">
              <w:rPr>
                <w:b/>
                <w:bCs/>
                <w:color w:val="000000"/>
                <w:szCs w:val="20"/>
              </w:rPr>
              <w:t>2 878 263,89</w:t>
            </w:r>
          </w:p>
        </w:tc>
      </w:tr>
    </w:tbl>
    <w:p w:rsidR="005E43B8" w:rsidRDefault="005E43B8" w:rsidP="0038355B">
      <w:pPr>
        <w:jc w:val="both"/>
        <w:rPr>
          <w:szCs w:val="20"/>
        </w:rPr>
      </w:pPr>
    </w:p>
    <w:tbl>
      <w:tblPr>
        <w:tblpPr w:leftFromText="141" w:rightFromText="141" w:vertAnchor="text" w:horzAnchor="margin" w:tblpX="70" w:tblpY="434"/>
        <w:tblW w:w="9993" w:type="dxa"/>
        <w:tblLayout w:type="fixed"/>
        <w:tblCellMar>
          <w:left w:w="70" w:type="dxa"/>
          <w:right w:w="70" w:type="dxa"/>
        </w:tblCellMar>
        <w:tblLook w:val="04A0" w:firstRow="1" w:lastRow="0" w:firstColumn="1" w:lastColumn="0" w:noHBand="0" w:noVBand="1"/>
      </w:tblPr>
      <w:tblGrid>
        <w:gridCol w:w="2055"/>
        <w:gridCol w:w="1417"/>
        <w:gridCol w:w="1560"/>
        <w:gridCol w:w="1559"/>
        <w:gridCol w:w="1559"/>
        <w:gridCol w:w="1843"/>
      </w:tblGrid>
      <w:tr w:rsidR="005E43B8" w:rsidRPr="001D3482" w:rsidTr="00D50922">
        <w:trPr>
          <w:trHeight w:val="315"/>
        </w:trPr>
        <w:tc>
          <w:tcPr>
            <w:tcW w:w="2055" w:type="dxa"/>
            <w:tcBorders>
              <w:top w:val="nil"/>
              <w:left w:val="nil"/>
              <w:right w:val="nil"/>
            </w:tcBorders>
            <w:shd w:val="clear" w:color="auto" w:fill="auto"/>
            <w:noWrap/>
            <w:vAlign w:val="center"/>
            <w:hideMark/>
          </w:tcPr>
          <w:p w:rsidR="005E43B8" w:rsidRPr="001D3482" w:rsidRDefault="005E43B8" w:rsidP="00D50922">
            <w:pPr>
              <w:ind w:left="214"/>
              <w:jc w:val="center"/>
              <w:rPr>
                <w:color w:val="00000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E43B8" w:rsidRPr="001D3482" w:rsidRDefault="005E43B8" w:rsidP="00D50922">
            <w:pPr>
              <w:ind w:left="214"/>
              <w:jc w:val="center"/>
              <w:rPr>
                <w:color w:val="000000"/>
                <w:szCs w:val="20"/>
              </w:rPr>
            </w:pPr>
            <w:r w:rsidRPr="001D3482">
              <w:rPr>
                <w:color w:val="000000"/>
                <w:szCs w:val="20"/>
              </w:rPr>
              <w:t>Fonctionnement</w:t>
            </w:r>
          </w:p>
        </w:tc>
        <w:tc>
          <w:tcPr>
            <w:tcW w:w="3118" w:type="dxa"/>
            <w:gridSpan w:val="2"/>
            <w:tcBorders>
              <w:top w:val="single" w:sz="4" w:space="0" w:color="auto"/>
              <w:left w:val="nil"/>
              <w:bottom w:val="single" w:sz="4" w:space="0" w:color="auto"/>
              <w:right w:val="single" w:sz="4" w:space="0" w:color="auto"/>
            </w:tcBorders>
            <w:shd w:val="clear" w:color="auto" w:fill="D9D9D9"/>
            <w:noWrap/>
            <w:vAlign w:val="center"/>
            <w:hideMark/>
          </w:tcPr>
          <w:p w:rsidR="005E43B8" w:rsidRPr="001D3482" w:rsidRDefault="005E43B8" w:rsidP="00D50922">
            <w:pPr>
              <w:ind w:left="214"/>
              <w:jc w:val="center"/>
              <w:rPr>
                <w:color w:val="000000"/>
                <w:szCs w:val="20"/>
              </w:rPr>
            </w:pPr>
            <w:r w:rsidRPr="001D3482">
              <w:rPr>
                <w:color w:val="000000"/>
                <w:szCs w:val="20"/>
              </w:rPr>
              <w:t>Investissement</w:t>
            </w:r>
          </w:p>
        </w:tc>
        <w:tc>
          <w:tcPr>
            <w:tcW w:w="1843" w:type="dxa"/>
            <w:vMerge w:val="restart"/>
            <w:tcBorders>
              <w:top w:val="single" w:sz="4" w:space="0" w:color="auto"/>
              <w:left w:val="nil"/>
              <w:right w:val="single" w:sz="4" w:space="0" w:color="auto"/>
            </w:tcBorders>
            <w:shd w:val="clear" w:color="auto" w:fill="D9D9D9"/>
            <w:vAlign w:val="center"/>
          </w:tcPr>
          <w:p w:rsidR="005E43B8" w:rsidRPr="001D3482" w:rsidRDefault="005E43B8" w:rsidP="00D50922">
            <w:pPr>
              <w:ind w:left="214"/>
              <w:jc w:val="center"/>
              <w:rPr>
                <w:color w:val="000000"/>
                <w:szCs w:val="20"/>
              </w:rPr>
            </w:pPr>
            <w:r w:rsidRPr="001D3482">
              <w:rPr>
                <w:color w:val="000000"/>
                <w:szCs w:val="20"/>
              </w:rPr>
              <w:t>Total</w:t>
            </w:r>
          </w:p>
        </w:tc>
      </w:tr>
      <w:tr w:rsidR="005E43B8" w:rsidRPr="001D3482" w:rsidTr="00D50922">
        <w:trPr>
          <w:trHeight w:val="315"/>
        </w:trPr>
        <w:tc>
          <w:tcPr>
            <w:tcW w:w="2055" w:type="dxa"/>
            <w:tcBorders>
              <w:top w:val="nil"/>
              <w:bottom w:val="single" w:sz="4" w:space="0" w:color="auto"/>
              <w:right w:val="single" w:sz="4" w:space="0" w:color="auto"/>
            </w:tcBorders>
            <w:shd w:val="clear" w:color="auto" w:fill="auto"/>
            <w:noWrap/>
            <w:vAlign w:val="center"/>
          </w:tcPr>
          <w:p w:rsidR="005E43B8" w:rsidRPr="001D3482" w:rsidRDefault="005E43B8" w:rsidP="00D50922">
            <w:pPr>
              <w:ind w:left="214"/>
              <w:jc w:val="center"/>
              <w:rPr>
                <w:bCs/>
                <w:color w:val="000000"/>
                <w:szCs w:val="20"/>
              </w:rPr>
            </w:pPr>
          </w:p>
        </w:tc>
        <w:tc>
          <w:tcPr>
            <w:tcW w:w="1417" w:type="dxa"/>
            <w:tcBorders>
              <w:top w:val="nil"/>
              <w:left w:val="nil"/>
              <w:bottom w:val="single" w:sz="4" w:space="0" w:color="auto"/>
              <w:right w:val="single" w:sz="4" w:space="0" w:color="auto"/>
            </w:tcBorders>
            <w:shd w:val="clear" w:color="auto" w:fill="D9D9D9"/>
            <w:vAlign w:val="center"/>
          </w:tcPr>
          <w:p w:rsidR="005E43B8" w:rsidRPr="001D3482" w:rsidRDefault="005E43B8" w:rsidP="00D50922">
            <w:pPr>
              <w:ind w:left="214"/>
              <w:jc w:val="center"/>
              <w:rPr>
                <w:bCs/>
                <w:color w:val="000000"/>
                <w:szCs w:val="20"/>
              </w:rPr>
            </w:pPr>
            <w:r w:rsidRPr="001D3482">
              <w:rPr>
                <w:bCs/>
                <w:color w:val="000000"/>
                <w:szCs w:val="20"/>
              </w:rPr>
              <w:t>Dépenses</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E43B8" w:rsidRPr="001D3482" w:rsidRDefault="005E43B8" w:rsidP="00D50922">
            <w:pPr>
              <w:ind w:left="214"/>
              <w:jc w:val="center"/>
              <w:rPr>
                <w:bCs/>
                <w:color w:val="000000"/>
                <w:szCs w:val="20"/>
              </w:rPr>
            </w:pPr>
            <w:r w:rsidRPr="001D3482">
              <w:rPr>
                <w:bCs/>
                <w:color w:val="000000"/>
                <w:szCs w:val="20"/>
              </w:rPr>
              <w:t>Recettes</w:t>
            </w:r>
          </w:p>
        </w:tc>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E43B8" w:rsidRPr="001D3482" w:rsidRDefault="005E43B8" w:rsidP="00D50922">
            <w:pPr>
              <w:ind w:left="214"/>
              <w:jc w:val="center"/>
              <w:rPr>
                <w:bCs/>
                <w:color w:val="000000"/>
                <w:szCs w:val="20"/>
              </w:rPr>
            </w:pPr>
            <w:r w:rsidRPr="001D3482">
              <w:rPr>
                <w:bCs/>
                <w:color w:val="000000"/>
                <w:szCs w:val="20"/>
              </w:rPr>
              <w:t>Dépenses</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5E43B8" w:rsidRPr="001D3482" w:rsidRDefault="005E43B8" w:rsidP="00D50922">
            <w:pPr>
              <w:ind w:left="214"/>
              <w:jc w:val="center"/>
              <w:rPr>
                <w:bCs/>
                <w:color w:val="000000"/>
                <w:szCs w:val="20"/>
              </w:rPr>
            </w:pPr>
            <w:r w:rsidRPr="001D3482">
              <w:rPr>
                <w:bCs/>
                <w:color w:val="000000"/>
                <w:szCs w:val="20"/>
              </w:rPr>
              <w:t>Recettes</w:t>
            </w:r>
          </w:p>
        </w:tc>
        <w:tc>
          <w:tcPr>
            <w:tcW w:w="1843" w:type="dxa"/>
            <w:vMerge/>
            <w:tcBorders>
              <w:left w:val="single" w:sz="4" w:space="0" w:color="auto"/>
              <w:bottom w:val="single" w:sz="4" w:space="0" w:color="auto"/>
              <w:right w:val="single" w:sz="4" w:space="0" w:color="auto"/>
            </w:tcBorders>
            <w:shd w:val="clear" w:color="auto" w:fill="D9D9D9"/>
          </w:tcPr>
          <w:p w:rsidR="005E43B8" w:rsidRPr="001D3482" w:rsidRDefault="005E43B8" w:rsidP="00D50922">
            <w:pPr>
              <w:ind w:left="214"/>
              <w:jc w:val="center"/>
              <w:rPr>
                <w:bCs/>
                <w:color w:val="000000"/>
                <w:szCs w:val="20"/>
              </w:rPr>
            </w:pPr>
          </w:p>
        </w:tc>
      </w:tr>
      <w:tr w:rsidR="005E43B8" w:rsidRPr="001D3482" w:rsidTr="00D50922">
        <w:trPr>
          <w:trHeight w:val="315"/>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3B8" w:rsidRPr="001D3482" w:rsidRDefault="005E43B8" w:rsidP="00D50922">
            <w:pPr>
              <w:rPr>
                <w:bCs/>
                <w:color w:val="000000"/>
                <w:szCs w:val="20"/>
              </w:rPr>
            </w:pPr>
            <w:r w:rsidRPr="001D3482">
              <w:rPr>
                <w:bCs/>
                <w:color w:val="000000"/>
                <w:szCs w:val="20"/>
              </w:rPr>
              <w:t>Résultat de clôture</w:t>
            </w:r>
          </w:p>
        </w:tc>
        <w:tc>
          <w:tcPr>
            <w:tcW w:w="1417" w:type="dxa"/>
            <w:tcBorders>
              <w:top w:val="single" w:sz="4" w:space="0" w:color="auto"/>
              <w:left w:val="nil"/>
              <w:bottom w:val="single" w:sz="4" w:space="0" w:color="auto"/>
              <w:right w:val="single" w:sz="4" w:space="0" w:color="auto"/>
            </w:tcBorders>
            <w:shd w:val="clear" w:color="auto" w:fill="auto"/>
            <w:vAlign w:val="center"/>
          </w:tcPr>
          <w:p w:rsidR="005E43B8" w:rsidRPr="001D3482" w:rsidRDefault="005E43B8" w:rsidP="00D50922">
            <w:pPr>
              <w:ind w:left="214"/>
              <w:jc w:val="right"/>
              <w:rPr>
                <w:bCs/>
                <w:color w:val="00000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3B8" w:rsidRPr="001D3482" w:rsidRDefault="005E43B8" w:rsidP="00D50922">
            <w:pPr>
              <w:ind w:left="214"/>
              <w:jc w:val="right"/>
              <w:rPr>
                <w:bCs/>
                <w:color w:val="000000"/>
                <w:szCs w:val="20"/>
              </w:rPr>
            </w:pPr>
            <w:r w:rsidRPr="001D3482">
              <w:rPr>
                <w:bCs/>
                <w:color w:val="000000"/>
                <w:szCs w:val="20"/>
              </w:rPr>
              <w:t>1 968 482,76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3B8" w:rsidRPr="001D3482" w:rsidRDefault="005E43B8" w:rsidP="00D50922">
            <w:pPr>
              <w:ind w:left="214"/>
              <w:jc w:val="right"/>
              <w:rPr>
                <w:bCs/>
                <w:color w:val="00000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43B8" w:rsidRPr="001D3482" w:rsidRDefault="005E43B8" w:rsidP="00D50922">
            <w:pPr>
              <w:ind w:left="214"/>
              <w:jc w:val="right"/>
              <w:rPr>
                <w:bCs/>
                <w:color w:val="000000"/>
                <w:szCs w:val="20"/>
              </w:rPr>
            </w:pPr>
            <w:r w:rsidRPr="001D3482">
              <w:rPr>
                <w:bCs/>
                <w:color w:val="000000"/>
                <w:szCs w:val="20"/>
              </w:rPr>
              <w:t>909 781,13</w:t>
            </w:r>
          </w:p>
        </w:tc>
        <w:tc>
          <w:tcPr>
            <w:tcW w:w="1843" w:type="dxa"/>
            <w:tcBorders>
              <w:top w:val="single" w:sz="4" w:space="0" w:color="auto"/>
              <w:left w:val="single" w:sz="4" w:space="0" w:color="auto"/>
              <w:bottom w:val="single" w:sz="4" w:space="0" w:color="auto"/>
              <w:right w:val="single" w:sz="4" w:space="0" w:color="auto"/>
            </w:tcBorders>
            <w:vAlign w:val="center"/>
          </w:tcPr>
          <w:p w:rsidR="005E43B8" w:rsidRPr="001D3482" w:rsidRDefault="005E43B8" w:rsidP="00D50922">
            <w:pPr>
              <w:ind w:left="214"/>
              <w:jc w:val="right"/>
              <w:rPr>
                <w:bCs/>
                <w:color w:val="000000"/>
                <w:szCs w:val="20"/>
              </w:rPr>
            </w:pPr>
            <w:r w:rsidRPr="001D3482">
              <w:rPr>
                <w:bCs/>
                <w:color w:val="000000"/>
                <w:szCs w:val="20"/>
              </w:rPr>
              <w:t>2 878 263,89</w:t>
            </w:r>
          </w:p>
        </w:tc>
      </w:tr>
      <w:tr w:rsidR="005E43B8" w:rsidRPr="001D3482" w:rsidTr="00D50922">
        <w:trPr>
          <w:trHeight w:val="315"/>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3B8" w:rsidRPr="001D3482" w:rsidRDefault="005E43B8" w:rsidP="00D50922">
            <w:pPr>
              <w:rPr>
                <w:color w:val="000000"/>
                <w:szCs w:val="20"/>
              </w:rPr>
            </w:pPr>
            <w:r w:rsidRPr="001D3482">
              <w:rPr>
                <w:color w:val="000000"/>
                <w:szCs w:val="20"/>
              </w:rPr>
              <w:t>Restes à réaliser</w:t>
            </w:r>
          </w:p>
        </w:tc>
        <w:tc>
          <w:tcPr>
            <w:tcW w:w="1417" w:type="dxa"/>
            <w:tcBorders>
              <w:top w:val="single" w:sz="4" w:space="0" w:color="auto"/>
              <w:left w:val="nil"/>
              <w:bottom w:val="single" w:sz="4" w:space="0" w:color="auto"/>
              <w:right w:val="single" w:sz="4" w:space="0" w:color="auto"/>
            </w:tcBorders>
            <w:shd w:val="clear" w:color="auto" w:fill="auto"/>
            <w:vAlign w:val="center"/>
          </w:tcPr>
          <w:p w:rsidR="005E43B8" w:rsidRPr="001D3482" w:rsidRDefault="005E43B8" w:rsidP="00D50922">
            <w:pPr>
              <w:ind w:left="214"/>
              <w:jc w:val="right"/>
              <w:rPr>
                <w:bCs/>
                <w:color w:val="00000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3B8" w:rsidRPr="001D3482" w:rsidRDefault="005E43B8" w:rsidP="00D50922">
            <w:pPr>
              <w:ind w:left="214"/>
              <w:jc w:val="right"/>
              <w:rPr>
                <w:bCs/>
                <w:color w:val="00000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3B8" w:rsidRPr="001D3482" w:rsidRDefault="005E43B8" w:rsidP="00D50922">
            <w:pPr>
              <w:ind w:left="214"/>
              <w:jc w:val="right"/>
              <w:rPr>
                <w:color w:val="000000"/>
                <w:szCs w:val="20"/>
              </w:rPr>
            </w:pPr>
            <w:r w:rsidRPr="001D3482">
              <w:rPr>
                <w:color w:val="000000"/>
                <w:szCs w:val="20"/>
              </w:rPr>
              <w:t>1</w:t>
            </w:r>
            <w:r>
              <w:rPr>
                <w:color w:val="000000"/>
                <w:szCs w:val="20"/>
              </w:rPr>
              <w:t xml:space="preserve"> </w:t>
            </w:r>
            <w:r w:rsidRPr="001D3482">
              <w:rPr>
                <w:color w:val="000000"/>
                <w:szCs w:val="20"/>
              </w:rPr>
              <w:t>279</w:t>
            </w:r>
            <w:r>
              <w:rPr>
                <w:color w:val="000000"/>
                <w:szCs w:val="20"/>
              </w:rPr>
              <w:t xml:space="preserve"> </w:t>
            </w:r>
            <w:r w:rsidRPr="001D3482">
              <w:rPr>
                <w:color w:val="000000"/>
                <w:szCs w:val="20"/>
              </w:rPr>
              <w:t>087,97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E43B8" w:rsidRPr="001D3482" w:rsidRDefault="005E43B8" w:rsidP="00D50922">
            <w:pPr>
              <w:ind w:left="214"/>
              <w:jc w:val="right"/>
              <w:rPr>
                <w:color w:val="000000"/>
                <w:szCs w:val="20"/>
              </w:rPr>
            </w:pPr>
            <w:r w:rsidRPr="001D3482">
              <w:rPr>
                <w:color w:val="000000"/>
                <w:szCs w:val="20"/>
              </w:rPr>
              <w:t>28</w:t>
            </w:r>
            <w:r>
              <w:rPr>
                <w:color w:val="000000"/>
                <w:szCs w:val="20"/>
              </w:rPr>
              <w:t xml:space="preserve"> </w:t>
            </w:r>
            <w:r w:rsidRPr="001D3482">
              <w:rPr>
                <w:color w:val="000000"/>
                <w:szCs w:val="20"/>
              </w:rPr>
              <w:t>639,00</w:t>
            </w:r>
          </w:p>
        </w:tc>
        <w:tc>
          <w:tcPr>
            <w:tcW w:w="1843" w:type="dxa"/>
            <w:tcBorders>
              <w:top w:val="single" w:sz="4" w:space="0" w:color="auto"/>
              <w:left w:val="single" w:sz="4" w:space="0" w:color="auto"/>
              <w:bottom w:val="single" w:sz="4" w:space="0" w:color="auto"/>
              <w:right w:val="single" w:sz="4" w:space="0" w:color="auto"/>
            </w:tcBorders>
            <w:vAlign w:val="center"/>
          </w:tcPr>
          <w:p w:rsidR="005E43B8" w:rsidRPr="001D3482" w:rsidRDefault="005E43B8" w:rsidP="00D50922">
            <w:pPr>
              <w:ind w:left="214" w:right="-142"/>
              <w:jc w:val="right"/>
              <w:rPr>
                <w:color w:val="000000"/>
                <w:szCs w:val="20"/>
              </w:rPr>
            </w:pPr>
            <w:r w:rsidRPr="001D3482">
              <w:rPr>
                <w:color w:val="000000"/>
                <w:szCs w:val="20"/>
              </w:rPr>
              <w:t xml:space="preserve">- </w:t>
            </w:r>
            <w:r w:rsidRPr="00F04DBB">
              <w:rPr>
                <w:bCs/>
                <w:color w:val="000000"/>
                <w:szCs w:val="20"/>
              </w:rPr>
              <w:t>1 250 448,97</w:t>
            </w:r>
          </w:p>
        </w:tc>
      </w:tr>
      <w:tr w:rsidR="005E43B8" w:rsidRPr="001D3482" w:rsidTr="00D50922">
        <w:trPr>
          <w:trHeight w:val="315"/>
        </w:trPr>
        <w:tc>
          <w:tcPr>
            <w:tcW w:w="2055"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5E43B8" w:rsidRPr="005E43B8" w:rsidRDefault="005E43B8" w:rsidP="00D50922">
            <w:pPr>
              <w:rPr>
                <w:b/>
                <w:bCs/>
                <w:color w:val="000000"/>
                <w:szCs w:val="20"/>
              </w:rPr>
            </w:pPr>
            <w:r w:rsidRPr="005E43B8">
              <w:rPr>
                <w:b/>
                <w:bCs/>
                <w:color w:val="000000"/>
                <w:szCs w:val="20"/>
              </w:rPr>
              <w:t>Résultat global</w:t>
            </w:r>
          </w:p>
        </w:tc>
        <w:tc>
          <w:tcPr>
            <w:tcW w:w="1417" w:type="dxa"/>
            <w:tcBorders>
              <w:top w:val="single" w:sz="4" w:space="0" w:color="auto"/>
              <w:left w:val="nil"/>
              <w:bottom w:val="single" w:sz="4" w:space="0" w:color="auto"/>
              <w:right w:val="single" w:sz="4" w:space="0" w:color="auto"/>
            </w:tcBorders>
            <w:shd w:val="clear" w:color="auto" w:fill="BDD6EE"/>
            <w:vAlign w:val="center"/>
          </w:tcPr>
          <w:p w:rsidR="005E43B8" w:rsidRPr="005E43B8" w:rsidRDefault="005E43B8" w:rsidP="00D50922">
            <w:pPr>
              <w:ind w:left="214"/>
              <w:jc w:val="right"/>
              <w:rPr>
                <w:b/>
                <w:bCs/>
                <w:color w:val="00000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5E43B8" w:rsidRPr="005E43B8" w:rsidRDefault="005E43B8" w:rsidP="00D50922">
            <w:pPr>
              <w:ind w:left="214"/>
              <w:jc w:val="right"/>
              <w:rPr>
                <w:b/>
                <w:bCs/>
                <w:color w:val="000000"/>
                <w:szCs w:val="20"/>
              </w:rPr>
            </w:pPr>
            <w:r w:rsidRPr="005E43B8">
              <w:rPr>
                <w:b/>
                <w:bCs/>
                <w:color w:val="000000"/>
                <w:szCs w:val="20"/>
              </w:rPr>
              <w:t>1 968 482,76</w:t>
            </w:r>
          </w:p>
        </w:tc>
        <w:tc>
          <w:tcPr>
            <w:tcW w:w="1559"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5E43B8" w:rsidRPr="005E43B8" w:rsidRDefault="005E43B8" w:rsidP="00D50922">
            <w:pPr>
              <w:ind w:left="214"/>
              <w:jc w:val="right"/>
              <w:rPr>
                <w:b/>
                <w:bCs/>
                <w:color w:val="000000"/>
                <w:szCs w:val="20"/>
              </w:rPr>
            </w:pPr>
            <w:r w:rsidRPr="005E43B8">
              <w:rPr>
                <w:b/>
                <w:color w:val="000000"/>
                <w:szCs w:val="20"/>
              </w:rPr>
              <w:t>1 279 087,97</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rsidR="005E43B8" w:rsidRPr="005E43B8" w:rsidRDefault="005E43B8" w:rsidP="00D50922">
            <w:pPr>
              <w:ind w:left="214"/>
              <w:jc w:val="right"/>
              <w:rPr>
                <w:b/>
                <w:color w:val="000000"/>
                <w:szCs w:val="20"/>
              </w:rPr>
            </w:pPr>
            <w:r w:rsidRPr="005E43B8">
              <w:rPr>
                <w:b/>
                <w:color w:val="000000"/>
                <w:szCs w:val="20"/>
              </w:rPr>
              <w:t>938 420,13</w:t>
            </w:r>
          </w:p>
        </w:tc>
        <w:tc>
          <w:tcPr>
            <w:tcW w:w="1843" w:type="dxa"/>
            <w:tcBorders>
              <w:top w:val="single" w:sz="4" w:space="0" w:color="auto"/>
              <w:left w:val="single" w:sz="4" w:space="0" w:color="auto"/>
              <w:bottom w:val="single" w:sz="4" w:space="0" w:color="auto"/>
              <w:right w:val="single" w:sz="4" w:space="0" w:color="auto"/>
            </w:tcBorders>
            <w:shd w:val="clear" w:color="auto" w:fill="BDD6EE"/>
            <w:vAlign w:val="center"/>
          </w:tcPr>
          <w:p w:rsidR="005E43B8" w:rsidRPr="005E43B8" w:rsidRDefault="005E43B8" w:rsidP="00D50922">
            <w:pPr>
              <w:ind w:left="214"/>
              <w:jc w:val="right"/>
              <w:rPr>
                <w:b/>
                <w:bCs/>
                <w:szCs w:val="20"/>
              </w:rPr>
            </w:pPr>
            <w:r w:rsidRPr="005E43B8">
              <w:rPr>
                <w:b/>
                <w:bCs/>
                <w:szCs w:val="20"/>
              </w:rPr>
              <w:t>1 627 814,92</w:t>
            </w:r>
          </w:p>
        </w:tc>
      </w:tr>
    </w:tbl>
    <w:p w:rsidR="005E43B8" w:rsidRDefault="005E43B8" w:rsidP="0038355B">
      <w:pPr>
        <w:jc w:val="both"/>
        <w:rPr>
          <w:szCs w:val="20"/>
        </w:rPr>
      </w:pPr>
    </w:p>
    <w:p w:rsidR="005E43B8" w:rsidRDefault="005E43B8" w:rsidP="0038355B">
      <w:pPr>
        <w:jc w:val="both"/>
        <w:rPr>
          <w:szCs w:val="20"/>
        </w:rPr>
      </w:pPr>
    </w:p>
    <w:p w:rsidR="005E43B8" w:rsidRDefault="005E43B8" w:rsidP="0038355B">
      <w:pPr>
        <w:jc w:val="both"/>
        <w:rPr>
          <w:szCs w:val="20"/>
        </w:rPr>
      </w:pPr>
    </w:p>
    <w:p w:rsidR="005E43B8" w:rsidRPr="001D3482" w:rsidRDefault="005E43B8" w:rsidP="005E43B8">
      <w:pPr>
        <w:jc w:val="both"/>
        <w:rPr>
          <w:szCs w:val="20"/>
        </w:rPr>
      </w:pPr>
      <w:r w:rsidRPr="001D3482">
        <w:rPr>
          <w:szCs w:val="20"/>
        </w:rPr>
        <w:t>Le résultat global est donc positif (1,6 M€).</w:t>
      </w:r>
    </w:p>
    <w:p w:rsidR="005E43B8" w:rsidRPr="001D3482" w:rsidRDefault="005E43B8" w:rsidP="005E43B8">
      <w:pPr>
        <w:jc w:val="both"/>
        <w:rPr>
          <w:szCs w:val="20"/>
        </w:rPr>
      </w:pPr>
    </w:p>
    <w:p w:rsidR="005E43B8" w:rsidRPr="001D3482" w:rsidRDefault="005E43B8" w:rsidP="005E43B8">
      <w:pPr>
        <w:jc w:val="both"/>
        <w:rPr>
          <w:szCs w:val="20"/>
        </w:rPr>
      </w:pPr>
      <w:r w:rsidRPr="001D3482">
        <w:rPr>
          <w:szCs w:val="20"/>
        </w:rPr>
        <w:t xml:space="preserve">L’excédent 2022 constaté en section de fonctionnement et l’excédent 2022 constaté en section d’investissement seront intégrés au budget 2023, dans le cadre du budget supplémentaire. </w:t>
      </w:r>
    </w:p>
    <w:p w:rsidR="005E43B8" w:rsidRPr="001D3482" w:rsidRDefault="005E43B8" w:rsidP="005E43B8">
      <w:pPr>
        <w:jc w:val="both"/>
        <w:rPr>
          <w:szCs w:val="20"/>
        </w:rPr>
      </w:pPr>
    </w:p>
    <w:p w:rsidR="005E43B8" w:rsidRDefault="005E43B8" w:rsidP="0038355B">
      <w:pPr>
        <w:jc w:val="both"/>
        <w:rPr>
          <w:szCs w:val="20"/>
        </w:rPr>
      </w:pPr>
    </w:p>
    <w:p w:rsidR="005E43B8" w:rsidRPr="00B73E82" w:rsidRDefault="005E43B8" w:rsidP="005E43B8">
      <w:pPr>
        <w:pStyle w:val="Titre1"/>
      </w:pPr>
      <w:r>
        <w:t>Présentation du compte administratif par section</w:t>
      </w:r>
      <w:r w:rsidRPr="00B73E82">
        <w:t xml:space="preserve"> : </w:t>
      </w:r>
    </w:p>
    <w:p w:rsidR="005E43B8" w:rsidRDefault="005E43B8" w:rsidP="0038355B">
      <w:pPr>
        <w:jc w:val="both"/>
        <w:rPr>
          <w:szCs w:val="20"/>
        </w:rPr>
      </w:pPr>
    </w:p>
    <w:p w:rsidR="0038355B" w:rsidRPr="00EC5A72" w:rsidRDefault="0038355B" w:rsidP="0038355B">
      <w:pPr>
        <w:widowControl/>
        <w:numPr>
          <w:ilvl w:val="0"/>
          <w:numId w:val="9"/>
        </w:numPr>
        <w:autoSpaceDE/>
        <w:autoSpaceDN/>
        <w:spacing w:line="240" w:lineRule="auto"/>
        <w:jc w:val="both"/>
        <w:rPr>
          <w:i/>
          <w:szCs w:val="20"/>
          <w:u w:val="single"/>
        </w:rPr>
      </w:pPr>
      <w:r w:rsidRPr="00EC5A72">
        <w:rPr>
          <w:i/>
          <w:szCs w:val="20"/>
          <w:u w:val="single"/>
        </w:rPr>
        <w:t>1. La section de fonctionnement (gestion des affaires courantes) :</w:t>
      </w:r>
    </w:p>
    <w:p w:rsidR="0038355B" w:rsidRPr="00223E8A" w:rsidRDefault="0038355B" w:rsidP="0038355B">
      <w:pPr>
        <w:jc w:val="both"/>
        <w:rPr>
          <w:szCs w:val="20"/>
        </w:rPr>
      </w:pPr>
    </w:p>
    <w:p w:rsidR="00B40502" w:rsidRPr="00223E8A" w:rsidRDefault="00B40502" w:rsidP="00B40502">
      <w:pPr>
        <w:jc w:val="both"/>
        <w:rPr>
          <w:szCs w:val="20"/>
        </w:rPr>
      </w:pPr>
      <w:r w:rsidRPr="00223E8A">
        <w:rPr>
          <w:szCs w:val="20"/>
        </w:rPr>
        <w:t>La section de fonctionnement regroupe l'ensemble des dépenses et des recettes nécessaires au fonctionnement courant et récurrent des services communaux (charges de personnel, entretien et fluides des bâtiments, fournitures, subventions….).</w:t>
      </w:r>
    </w:p>
    <w:p w:rsidR="00B40502" w:rsidRPr="00223E8A" w:rsidRDefault="00B40502" w:rsidP="00223E8A">
      <w:pPr>
        <w:spacing w:line="240" w:lineRule="auto"/>
        <w:jc w:val="both"/>
        <w:rPr>
          <w:szCs w:val="20"/>
        </w:rPr>
      </w:pPr>
    </w:p>
    <w:p w:rsidR="00B40502" w:rsidRDefault="00223E8A" w:rsidP="00223E8A">
      <w:pPr>
        <w:spacing w:line="240" w:lineRule="auto"/>
        <w:jc w:val="both"/>
        <w:rPr>
          <w:szCs w:val="20"/>
        </w:rPr>
      </w:pPr>
      <w:r>
        <w:rPr>
          <w:noProof/>
          <w:lang w:eastAsia="fr-FR"/>
        </w:rPr>
        <w:drawing>
          <wp:inline distT="0" distB="0" distL="0" distR="0" wp14:anchorId="58CD3AD5" wp14:editId="7A6E5E96">
            <wp:extent cx="5707380" cy="3718560"/>
            <wp:effectExtent l="0" t="0" r="7620" b="1524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0502" w:rsidRPr="00BB48D7" w:rsidRDefault="00B40502" w:rsidP="00223E8A">
      <w:pPr>
        <w:spacing w:line="240" w:lineRule="auto"/>
        <w:jc w:val="both"/>
        <w:rPr>
          <w:szCs w:val="20"/>
        </w:rPr>
      </w:pPr>
    </w:p>
    <w:p w:rsidR="00BB48D7" w:rsidRPr="00BB48D7" w:rsidRDefault="00BB48D7" w:rsidP="00BB48D7">
      <w:pPr>
        <w:jc w:val="both"/>
        <w:rPr>
          <w:szCs w:val="20"/>
        </w:rPr>
      </w:pPr>
      <w:r w:rsidRPr="00BB48D7">
        <w:rPr>
          <w:szCs w:val="20"/>
        </w:rPr>
        <w:t>Les recettes de fonctionnement correspondent principalement : au produit des taxes locales, aux dotations versées par l'Etat, aux sommes encaissées au titre des prestations fournies à la population (cantine, accueils de loisirs…).</w:t>
      </w:r>
    </w:p>
    <w:p w:rsidR="00BB48D7" w:rsidRPr="00BB48D7" w:rsidRDefault="00BB48D7" w:rsidP="00223E8A">
      <w:pPr>
        <w:spacing w:line="240" w:lineRule="auto"/>
        <w:jc w:val="both"/>
        <w:rPr>
          <w:szCs w:val="20"/>
        </w:rPr>
      </w:pPr>
    </w:p>
    <w:p w:rsidR="00BB48D7" w:rsidRDefault="00BB48D7" w:rsidP="00223E8A">
      <w:pPr>
        <w:spacing w:line="240" w:lineRule="auto"/>
        <w:jc w:val="both"/>
        <w:rPr>
          <w:szCs w:val="20"/>
        </w:rPr>
      </w:pPr>
    </w:p>
    <w:p w:rsidR="00BB48D7" w:rsidRDefault="00F31285" w:rsidP="00223E8A">
      <w:pPr>
        <w:spacing w:line="240" w:lineRule="auto"/>
        <w:jc w:val="both"/>
        <w:rPr>
          <w:szCs w:val="20"/>
        </w:rPr>
      </w:pPr>
      <w:r>
        <w:rPr>
          <w:noProof/>
          <w:lang w:eastAsia="fr-FR"/>
        </w:rPr>
        <w:drawing>
          <wp:inline distT="0" distB="0" distL="0" distR="0" wp14:anchorId="58AD0FAD" wp14:editId="60C6F1F0">
            <wp:extent cx="5844540" cy="3787140"/>
            <wp:effectExtent l="0" t="0" r="3810" b="381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48D7" w:rsidRDefault="00BB48D7" w:rsidP="00223E8A">
      <w:pPr>
        <w:spacing w:line="240" w:lineRule="auto"/>
        <w:jc w:val="both"/>
        <w:rPr>
          <w:szCs w:val="20"/>
        </w:rPr>
      </w:pPr>
    </w:p>
    <w:p w:rsidR="00BB48D7" w:rsidRDefault="00BB48D7" w:rsidP="00223E8A">
      <w:pPr>
        <w:spacing w:line="240" w:lineRule="auto"/>
        <w:jc w:val="both"/>
        <w:rPr>
          <w:szCs w:val="20"/>
        </w:rPr>
      </w:pPr>
    </w:p>
    <w:p w:rsidR="00BB48D7" w:rsidRDefault="00BB48D7" w:rsidP="00223E8A">
      <w:pPr>
        <w:spacing w:line="240" w:lineRule="auto"/>
        <w:jc w:val="both"/>
        <w:rPr>
          <w:szCs w:val="20"/>
        </w:rPr>
      </w:pPr>
    </w:p>
    <w:p w:rsidR="00F31285" w:rsidRPr="00F31285" w:rsidRDefault="00F31285" w:rsidP="00F31285">
      <w:pPr>
        <w:widowControl/>
        <w:numPr>
          <w:ilvl w:val="0"/>
          <w:numId w:val="9"/>
        </w:numPr>
        <w:autoSpaceDE/>
        <w:autoSpaceDN/>
        <w:spacing w:line="240" w:lineRule="auto"/>
        <w:jc w:val="both"/>
        <w:rPr>
          <w:i/>
          <w:szCs w:val="20"/>
          <w:u w:val="single"/>
        </w:rPr>
      </w:pPr>
      <w:r w:rsidRPr="00F31285">
        <w:rPr>
          <w:i/>
          <w:szCs w:val="20"/>
          <w:u w:val="single"/>
        </w:rPr>
        <w:t>2</w:t>
      </w:r>
      <w:r w:rsidRPr="00F31285">
        <w:rPr>
          <w:i/>
          <w:szCs w:val="20"/>
          <w:u w:val="single"/>
        </w:rPr>
        <w:t>. La section d'investissement (qui a vocation à entretenir le patrimoine et à lancer de nouveaux projets pour préparer l'avenir) :</w:t>
      </w:r>
    </w:p>
    <w:p w:rsidR="00BB48D7" w:rsidRPr="006E1717" w:rsidRDefault="00BB48D7" w:rsidP="00223E8A">
      <w:pPr>
        <w:spacing w:line="240" w:lineRule="auto"/>
        <w:jc w:val="both"/>
        <w:rPr>
          <w:szCs w:val="20"/>
        </w:rPr>
      </w:pPr>
    </w:p>
    <w:p w:rsidR="001E4C17" w:rsidRPr="006E1717" w:rsidRDefault="001E4C17" w:rsidP="001E4C17">
      <w:pPr>
        <w:jc w:val="both"/>
        <w:rPr>
          <w:szCs w:val="20"/>
        </w:rPr>
      </w:pPr>
      <w:r w:rsidRPr="006E1717">
        <w:rPr>
          <w:szCs w:val="20"/>
        </w:rPr>
        <w:t>Contrairement à la section de fonctionnement, la section d'investissement est liée aux projets de la ville à moyen ou long terme.</w:t>
      </w:r>
    </w:p>
    <w:p w:rsidR="001E4C17" w:rsidRPr="006E1717" w:rsidRDefault="001E4C17" w:rsidP="001E4C17">
      <w:pPr>
        <w:jc w:val="both"/>
        <w:rPr>
          <w:szCs w:val="20"/>
        </w:rPr>
      </w:pPr>
    </w:p>
    <w:p w:rsidR="001E4C17" w:rsidRPr="006E1717" w:rsidRDefault="001E4C17" w:rsidP="001E4C17">
      <w:pPr>
        <w:jc w:val="both"/>
        <w:rPr>
          <w:szCs w:val="20"/>
        </w:rPr>
      </w:pPr>
      <w:r w:rsidRPr="006E1717">
        <w:rPr>
          <w:szCs w:val="20"/>
        </w:rPr>
        <w:t>En dépenses d’investissement : apparaissent toutes les dépenses faisant varier durablement la valeur ou la consistance du patrimoine de la collectivité. Il s'agit notamment des acquisitions de mobilier, de matériel, d'études et de travaux.</w:t>
      </w:r>
    </w:p>
    <w:p w:rsidR="00F31285" w:rsidRPr="006E1717" w:rsidRDefault="00F31285" w:rsidP="00AA60C8">
      <w:pPr>
        <w:spacing w:line="240" w:lineRule="auto"/>
        <w:jc w:val="both"/>
        <w:rPr>
          <w:szCs w:val="20"/>
        </w:rPr>
      </w:pPr>
    </w:p>
    <w:p w:rsidR="006E1717" w:rsidRPr="006E1717" w:rsidRDefault="00AA60C8" w:rsidP="00AA60C8">
      <w:pPr>
        <w:spacing w:line="240" w:lineRule="auto"/>
        <w:jc w:val="both"/>
        <w:rPr>
          <w:szCs w:val="20"/>
        </w:rPr>
      </w:pPr>
      <w:r>
        <w:rPr>
          <w:noProof/>
          <w:lang w:eastAsia="fr-FR"/>
        </w:rPr>
        <w:lastRenderedPageBreak/>
        <w:drawing>
          <wp:inline distT="0" distB="0" distL="0" distR="0" wp14:anchorId="12F521DE" wp14:editId="07FBE54E">
            <wp:extent cx="5722620" cy="3406140"/>
            <wp:effectExtent l="0" t="0" r="11430" b="381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1717" w:rsidRDefault="006E1717" w:rsidP="00AA60C8">
      <w:pPr>
        <w:spacing w:line="240" w:lineRule="auto"/>
        <w:jc w:val="both"/>
        <w:rPr>
          <w:szCs w:val="20"/>
        </w:rPr>
      </w:pPr>
    </w:p>
    <w:p w:rsidR="006E1717" w:rsidRPr="007B6650" w:rsidRDefault="006E1717" w:rsidP="0038355B">
      <w:pPr>
        <w:jc w:val="both"/>
        <w:rPr>
          <w:szCs w:val="20"/>
        </w:rPr>
      </w:pPr>
    </w:p>
    <w:p w:rsidR="007B6650" w:rsidRPr="007B6650" w:rsidRDefault="007B6650" w:rsidP="007B6650">
      <w:pPr>
        <w:jc w:val="both"/>
        <w:rPr>
          <w:szCs w:val="20"/>
        </w:rPr>
      </w:pPr>
      <w:r w:rsidRPr="007B6650">
        <w:rPr>
          <w:szCs w:val="20"/>
        </w:rPr>
        <w:t xml:space="preserve">En recettes d’investissement, on trouve principalement : les emprunts, les subventions d'investissement perçues, la taxe d’aménagement et le reversement de TVA par l’Etat (le FCTVA). </w:t>
      </w:r>
    </w:p>
    <w:p w:rsidR="006E1717" w:rsidRDefault="006E1717" w:rsidP="007B6650">
      <w:pPr>
        <w:spacing w:line="240" w:lineRule="auto"/>
        <w:jc w:val="both"/>
        <w:rPr>
          <w:szCs w:val="20"/>
        </w:rPr>
      </w:pPr>
    </w:p>
    <w:p w:rsidR="007B6650" w:rsidRPr="007B6650" w:rsidRDefault="007B6650" w:rsidP="007B6650">
      <w:pPr>
        <w:spacing w:line="240" w:lineRule="auto"/>
        <w:jc w:val="both"/>
        <w:rPr>
          <w:szCs w:val="20"/>
        </w:rPr>
      </w:pPr>
    </w:p>
    <w:p w:rsidR="00F31285" w:rsidRDefault="007B6650" w:rsidP="007B6650">
      <w:pPr>
        <w:spacing w:line="240" w:lineRule="auto"/>
        <w:jc w:val="both"/>
        <w:rPr>
          <w:szCs w:val="20"/>
        </w:rPr>
      </w:pPr>
      <w:r>
        <w:rPr>
          <w:noProof/>
          <w:lang w:eastAsia="fr-FR"/>
        </w:rPr>
        <w:drawing>
          <wp:inline distT="0" distB="0" distL="0" distR="0" wp14:anchorId="76214938" wp14:editId="6B31BCBB">
            <wp:extent cx="5570220" cy="3459480"/>
            <wp:effectExtent l="0" t="0" r="11430" b="762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1285" w:rsidRDefault="00F31285" w:rsidP="007B6650">
      <w:pPr>
        <w:spacing w:line="240" w:lineRule="auto"/>
        <w:jc w:val="both"/>
        <w:rPr>
          <w:szCs w:val="20"/>
        </w:rPr>
      </w:pPr>
    </w:p>
    <w:p w:rsidR="003A3F6D" w:rsidRDefault="003A3F6D" w:rsidP="007B6650">
      <w:pPr>
        <w:spacing w:line="240" w:lineRule="auto"/>
        <w:jc w:val="both"/>
        <w:rPr>
          <w:szCs w:val="20"/>
        </w:rPr>
      </w:pPr>
    </w:p>
    <w:p w:rsidR="003A3F6D" w:rsidRDefault="003A3F6D" w:rsidP="007B6650">
      <w:pPr>
        <w:spacing w:line="240" w:lineRule="auto"/>
        <w:jc w:val="both"/>
        <w:rPr>
          <w:szCs w:val="20"/>
        </w:rPr>
      </w:pPr>
    </w:p>
    <w:p w:rsidR="00F3290B" w:rsidRDefault="00F3290B">
      <w:pPr>
        <w:spacing w:line="240" w:lineRule="auto"/>
        <w:ind w:left="0"/>
        <w:rPr>
          <w:szCs w:val="20"/>
        </w:rPr>
      </w:pPr>
      <w:r>
        <w:rPr>
          <w:szCs w:val="20"/>
        </w:rPr>
        <w:br w:type="page"/>
      </w:r>
    </w:p>
    <w:p w:rsidR="00782321" w:rsidRPr="0006241D" w:rsidRDefault="00782321" w:rsidP="00F3290B">
      <w:pPr>
        <w:spacing w:line="240" w:lineRule="auto"/>
        <w:jc w:val="both"/>
        <w:rPr>
          <w:szCs w:val="20"/>
        </w:rPr>
      </w:pPr>
    </w:p>
    <w:p w:rsidR="0038355B" w:rsidRPr="00B73E82" w:rsidRDefault="00242B1E" w:rsidP="00F3290B">
      <w:pPr>
        <w:pStyle w:val="Titre1"/>
        <w:spacing w:before="0" w:line="240" w:lineRule="auto"/>
      </w:pPr>
      <w:r>
        <w:t>Principaux</w:t>
      </w:r>
      <w:r w:rsidR="0038355B" w:rsidRPr="00B73E82">
        <w:t xml:space="preserve"> ratios : </w:t>
      </w:r>
    </w:p>
    <w:p w:rsidR="0038355B" w:rsidRDefault="0038355B" w:rsidP="00F3290B">
      <w:pPr>
        <w:spacing w:line="240" w:lineRule="auto"/>
        <w:jc w:val="both"/>
        <w:rPr>
          <w:szCs w:val="20"/>
        </w:rPr>
      </w:pPr>
    </w:p>
    <w:p w:rsidR="009A070D" w:rsidRDefault="004F4AD0" w:rsidP="004F4AD0">
      <w:pPr>
        <w:spacing w:line="240" w:lineRule="auto"/>
        <w:jc w:val="both"/>
        <w:rPr>
          <w:szCs w:val="20"/>
        </w:rPr>
      </w:pPr>
      <w:r>
        <w:rPr>
          <w:noProof/>
          <w:szCs w:val="20"/>
          <w:lang w:eastAsia="fr-FR"/>
        </w:rPr>
        <w:drawing>
          <wp:inline distT="0" distB="0" distL="0" distR="0">
            <wp:extent cx="5170170" cy="14097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C4E133.tmp"/>
                    <pic:cNvPicPr/>
                  </pic:nvPicPr>
                  <pic:blipFill>
                    <a:blip r:embed="rId13">
                      <a:extLst>
                        <a:ext uri="{28A0092B-C50C-407E-A947-70E740481C1C}">
                          <a14:useLocalDpi xmlns:a14="http://schemas.microsoft.com/office/drawing/2010/main" val="0"/>
                        </a:ext>
                      </a:extLst>
                    </a:blip>
                    <a:stretch>
                      <a:fillRect/>
                    </a:stretch>
                  </pic:blipFill>
                  <pic:spPr>
                    <a:xfrm>
                      <a:off x="0" y="0"/>
                      <a:ext cx="5177246" cy="1411629"/>
                    </a:xfrm>
                    <a:prstGeom prst="rect">
                      <a:avLst/>
                    </a:prstGeom>
                  </pic:spPr>
                </pic:pic>
              </a:graphicData>
            </a:graphic>
          </wp:inline>
        </w:drawing>
      </w:r>
    </w:p>
    <w:p w:rsidR="009A070D" w:rsidRPr="005939F7" w:rsidRDefault="009A070D" w:rsidP="00F3290B">
      <w:pPr>
        <w:spacing w:line="240" w:lineRule="auto"/>
        <w:jc w:val="both"/>
        <w:rPr>
          <w:szCs w:val="20"/>
        </w:rPr>
      </w:pPr>
    </w:p>
    <w:p w:rsidR="009A070D" w:rsidRPr="005939F7" w:rsidRDefault="009A070D" w:rsidP="00547B33">
      <w:pPr>
        <w:jc w:val="both"/>
        <w:rPr>
          <w:szCs w:val="20"/>
        </w:rPr>
      </w:pPr>
    </w:p>
    <w:p w:rsidR="00F75316" w:rsidRPr="00547B33" w:rsidRDefault="00F75316" w:rsidP="00F75316">
      <w:pPr>
        <w:jc w:val="both"/>
        <w:rPr>
          <w:szCs w:val="20"/>
        </w:rPr>
      </w:pPr>
      <w:r w:rsidRPr="00547B33">
        <w:rPr>
          <w:szCs w:val="20"/>
        </w:rPr>
        <w:t>De plus, au compte administratif 202</w:t>
      </w:r>
      <w:r w:rsidRPr="00547B33">
        <w:rPr>
          <w:szCs w:val="20"/>
        </w:rPr>
        <w:t>2</w:t>
      </w:r>
      <w:r w:rsidRPr="00547B33">
        <w:rPr>
          <w:szCs w:val="20"/>
        </w:rPr>
        <w:t xml:space="preserve"> : </w:t>
      </w:r>
    </w:p>
    <w:p w:rsidR="00F75316" w:rsidRPr="00547B33" w:rsidRDefault="00F75316" w:rsidP="00547B33">
      <w:pPr>
        <w:pStyle w:val="Paragraphedeliste"/>
        <w:numPr>
          <w:ilvl w:val="0"/>
          <w:numId w:val="18"/>
        </w:numPr>
        <w:ind w:left="851"/>
        <w:jc w:val="both"/>
        <w:rPr>
          <w:szCs w:val="20"/>
        </w:rPr>
      </w:pPr>
      <w:r w:rsidRPr="00547B33">
        <w:rPr>
          <w:szCs w:val="20"/>
        </w:rPr>
        <w:t xml:space="preserve">l’épargne brute est de </w:t>
      </w:r>
      <w:r w:rsidRPr="00547B33">
        <w:rPr>
          <w:szCs w:val="20"/>
        </w:rPr>
        <w:t>1 081 267</w:t>
      </w:r>
      <w:r w:rsidRPr="00547B33">
        <w:rPr>
          <w:szCs w:val="20"/>
        </w:rPr>
        <w:t xml:space="preserve"> €,</w:t>
      </w:r>
    </w:p>
    <w:p w:rsidR="00F75316" w:rsidRPr="00547B33" w:rsidRDefault="00F75316" w:rsidP="00547B33">
      <w:pPr>
        <w:pStyle w:val="Paragraphedeliste"/>
        <w:numPr>
          <w:ilvl w:val="0"/>
          <w:numId w:val="18"/>
        </w:numPr>
        <w:ind w:left="851"/>
        <w:jc w:val="both"/>
        <w:rPr>
          <w:szCs w:val="20"/>
        </w:rPr>
      </w:pPr>
      <w:r w:rsidRPr="00547B33">
        <w:rPr>
          <w:szCs w:val="20"/>
        </w:rPr>
        <w:t xml:space="preserve">le taux d’épargne brute est de </w:t>
      </w:r>
      <w:r w:rsidRPr="00547B33">
        <w:rPr>
          <w:szCs w:val="20"/>
        </w:rPr>
        <w:t>2,5</w:t>
      </w:r>
      <w:r w:rsidRPr="00547B33">
        <w:rPr>
          <w:szCs w:val="20"/>
        </w:rPr>
        <w:t xml:space="preserve"> %,</w:t>
      </w:r>
    </w:p>
    <w:p w:rsidR="00F75316" w:rsidRPr="00547B33" w:rsidRDefault="00F75316" w:rsidP="00547B33">
      <w:pPr>
        <w:pStyle w:val="Paragraphedeliste"/>
        <w:numPr>
          <w:ilvl w:val="0"/>
          <w:numId w:val="18"/>
        </w:numPr>
        <w:ind w:left="851"/>
        <w:jc w:val="both"/>
        <w:rPr>
          <w:szCs w:val="20"/>
        </w:rPr>
      </w:pPr>
      <w:r w:rsidRPr="00547B33">
        <w:rPr>
          <w:szCs w:val="20"/>
        </w:rPr>
        <w:t xml:space="preserve">la capacité de désendettement est de </w:t>
      </w:r>
      <w:r w:rsidRPr="00547B33">
        <w:rPr>
          <w:szCs w:val="20"/>
        </w:rPr>
        <w:t>24,0</w:t>
      </w:r>
      <w:r w:rsidRPr="00547B33">
        <w:rPr>
          <w:szCs w:val="20"/>
        </w:rPr>
        <w:t xml:space="preserve"> ans,</w:t>
      </w:r>
    </w:p>
    <w:p w:rsidR="00F75316" w:rsidRPr="00547B33" w:rsidRDefault="00F75316" w:rsidP="00547B33">
      <w:pPr>
        <w:pStyle w:val="Paragraphedeliste"/>
        <w:numPr>
          <w:ilvl w:val="0"/>
          <w:numId w:val="18"/>
        </w:numPr>
        <w:ind w:left="851"/>
        <w:jc w:val="both"/>
        <w:rPr>
          <w:szCs w:val="20"/>
        </w:rPr>
      </w:pPr>
      <w:r w:rsidRPr="00547B33">
        <w:rPr>
          <w:szCs w:val="20"/>
        </w:rPr>
        <w:t xml:space="preserve">l’épargne nette est de – </w:t>
      </w:r>
      <w:r w:rsidRPr="00547B33">
        <w:rPr>
          <w:szCs w:val="20"/>
        </w:rPr>
        <w:t>1 943 229</w:t>
      </w:r>
      <w:r w:rsidRPr="00547B33">
        <w:rPr>
          <w:szCs w:val="20"/>
        </w:rPr>
        <w:t xml:space="preserve"> €.</w:t>
      </w:r>
    </w:p>
    <w:p w:rsidR="00F75316" w:rsidRPr="005939F7" w:rsidRDefault="00F75316" w:rsidP="00F75316">
      <w:pPr>
        <w:jc w:val="both"/>
        <w:rPr>
          <w:szCs w:val="20"/>
        </w:rPr>
      </w:pPr>
    </w:p>
    <w:p w:rsidR="00F75316" w:rsidRPr="005939F7" w:rsidRDefault="00F75316" w:rsidP="00F75316">
      <w:pPr>
        <w:jc w:val="both"/>
        <w:rPr>
          <w:szCs w:val="20"/>
        </w:rPr>
      </w:pPr>
      <w:r w:rsidRPr="005939F7">
        <w:rPr>
          <w:szCs w:val="20"/>
        </w:rPr>
        <w:t>Comme au compte administratif 202</w:t>
      </w:r>
      <w:r w:rsidRPr="005939F7">
        <w:rPr>
          <w:szCs w:val="20"/>
        </w:rPr>
        <w:t>1</w:t>
      </w:r>
      <w:r w:rsidRPr="005939F7">
        <w:rPr>
          <w:szCs w:val="20"/>
        </w:rPr>
        <w:t xml:space="preserve">, le niveau d’épargne est relativement bas. On constate une dégradation de l’épargne. Cela est principalement dû à l’impact de la crise sanitaire, au prélèvement relatif aux amendes de police, et </w:t>
      </w:r>
      <w:r w:rsidR="00215E0C">
        <w:rPr>
          <w:szCs w:val="20"/>
        </w:rPr>
        <w:t xml:space="preserve">à </w:t>
      </w:r>
      <w:r w:rsidRPr="005939F7">
        <w:rPr>
          <w:szCs w:val="20"/>
        </w:rPr>
        <w:t xml:space="preserve">la baisse des dotations. </w:t>
      </w:r>
    </w:p>
    <w:p w:rsidR="00F75316" w:rsidRPr="005939F7" w:rsidRDefault="00F75316" w:rsidP="00F3290B">
      <w:pPr>
        <w:spacing w:line="240" w:lineRule="auto"/>
        <w:jc w:val="both"/>
        <w:rPr>
          <w:szCs w:val="20"/>
        </w:rPr>
      </w:pPr>
    </w:p>
    <w:p w:rsidR="00F75316" w:rsidRPr="005939F7" w:rsidRDefault="00F75316" w:rsidP="00F75316">
      <w:pPr>
        <w:jc w:val="both"/>
        <w:rPr>
          <w:szCs w:val="20"/>
        </w:rPr>
      </w:pPr>
      <w:r w:rsidRPr="005939F7">
        <w:rPr>
          <w:szCs w:val="20"/>
        </w:rPr>
        <w:t xml:space="preserve">Les mesures ont été prises par la municipalité, dans le cadre du Budget 2023, pour contenir les dépenses de fonctionnement et augmenter les recettes, afin d’améliorer les épargnes et les ratios de gestion. </w:t>
      </w:r>
    </w:p>
    <w:p w:rsidR="0038355B" w:rsidRPr="0006241D" w:rsidRDefault="0038355B" w:rsidP="00F3290B">
      <w:pPr>
        <w:spacing w:line="240" w:lineRule="auto"/>
        <w:jc w:val="both"/>
        <w:rPr>
          <w:szCs w:val="20"/>
        </w:rPr>
      </w:pPr>
    </w:p>
    <w:p w:rsidR="0038355B" w:rsidRPr="0006241D" w:rsidRDefault="0038355B" w:rsidP="00F3290B">
      <w:pPr>
        <w:spacing w:line="240" w:lineRule="auto"/>
        <w:jc w:val="both"/>
        <w:rPr>
          <w:szCs w:val="20"/>
        </w:rPr>
      </w:pPr>
    </w:p>
    <w:p w:rsidR="0038355B" w:rsidRPr="00B73E82" w:rsidRDefault="002F3D84" w:rsidP="00F3290B">
      <w:pPr>
        <w:pStyle w:val="Titre1"/>
        <w:spacing w:before="0" w:line="240" w:lineRule="auto"/>
      </w:pPr>
      <w:r>
        <w:t>L’</w:t>
      </w:r>
      <w:r w:rsidR="0038355B" w:rsidRPr="00B73E82">
        <w:t>endettement</w:t>
      </w:r>
      <w:r>
        <w:t xml:space="preserve"> </w:t>
      </w:r>
      <w:r w:rsidR="0038355B" w:rsidRPr="00B73E82">
        <w:t xml:space="preserve">: </w:t>
      </w:r>
    </w:p>
    <w:p w:rsidR="0038355B" w:rsidRDefault="0038355B" w:rsidP="00F3290B">
      <w:pPr>
        <w:spacing w:line="240" w:lineRule="auto"/>
        <w:jc w:val="both"/>
        <w:rPr>
          <w:szCs w:val="20"/>
        </w:rPr>
      </w:pPr>
    </w:p>
    <w:p w:rsidR="000E490A" w:rsidRPr="00F617FE" w:rsidRDefault="000E490A" w:rsidP="000E490A">
      <w:pPr>
        <w:jc w:val="both"/>
        <w:rPr>
          <w:szCs w:val="20"/>
        </w:rPr>
      </w:pPr>
      <w:r>
        <w:rPr>
          <w:szCs w:val="20"/>
        </w:rPr>
        <w:t>En 2022, l</w:t>
      </w:r>
      <w:r w:rsidRPr="00F617FE">
        <w:rPr>
          <w:szCs w:val="20"/>
        </w:rPr>
        <w:t>a ville a contracté un emprunt de 3 000 000 € auprès de l’Agence France Locale, pour une durée de 25 ans, avec un taux d’intérêt annuel fixe de 2,775 %.</w:t>
      </w:r>
    </w:p>
    <w:p w:rsidR="000E490A" w:rsidRDefault="000E490A" w:rsidP="000E490A">
      <w:pPr>
        <w:jc w:val="both"/>
        <w:rPr>
          <w:szCs w:val="20"/>
        </w:rPr>
      </w:pPr>
      <w:r w:rsidRPr="00F617FE">
        <w:rPr>
          <w:szCs w:val="20"/>
        </w:rPr>
        <w:t xml:space="preserve">On remarque </w:t>
      </w:r>
      <w:r>
        <w:rPr>
          <w:szCs w:val="20"/>
        </w:rPr>
        <w:t xml:space="preserve">que la ville a </w:t>
      </w:r>
      <w:r w:rsidRPr="00F617FE">
        <w:rPr>
          <w:szCs w:val="20"/>
        </w:rPr>
        <w:t>pu bénéficier de taux très baux ces dernières années</w:t>
      </w:r>
      <w:r>
        <w:rPr>
          <w:szCs w:val="20"/>
        </w:rPr>
        <w:t xml:space="preserve">. Or, en </w:t>
      </w:r>
      <w:r w:rsidRPr="00F617FE">
        <w:rPr>
          <w:szCs w:val="20"/>
        </w:rPr>
        <w:t xml:space="preserve">2022 les taux d’intérêt ont </w:t>
      </w:r>
      <w:r>
        <w:rPr>
          <w:szCs w:val="20"/>
        </w:rPr>
        <w:t>connu une forte hausse :</w:t>
      </w:r>
    </w:p>
    <w:p w:rsidR="000E490A" w:rsidRDefault="000E490A" w:rsidP="000E490A">
      <w:pPr>
        <w:jc w:val="both"/>
        <w:rPr>
          <w:szCs w:val="20"/>
        </w:rPr>
      </w:pPr>
    </w:p>
    <w:p w:rsidR="000E490A" w:rsidRPr="000E490A" w:rsidRDefault="000E490A" w:rsidP="000E490A">
      <w:pPr>
        <w:jc w:val="both"/>
        <w:rPr>
          <w:i/>
          <w:szCs w:val="20"/>
          <w:u w:val="single"/>
        </w:rPr>
      </w:pPr>
      <w:r w:rsidRPr="000E490A">
        <w:rPr>
          <w:i/>
          <w:szCs w:val="20"/>
          <w:u w:val="single"/>
        </w:rPr>
        <w:t>Evolution des taux entre 2014 et 2022 :</w:t>
      </w:r>
    </w:p>
    <w:p w:rsidR="000E490A" w:rsidRDefault="000E490A" w:rsidP="000E490A">
      <w:pPr>
        <w:spacing w:line="240" w:lineRule="auto"/>
        <w:jc w:val="both"/>
        <w:rPr>
          <w:szCs w:val="20"/>
        </w:rPr>
      </w:pPr>
    </w:p>
    <w:p w:rsidR="000E490A" w:rsidRDefault="000E490A" w:rsidP="000E490A">
      <w:pPr>
        <w:spacing w:line="240" w:lineRule="auto"/>
        <w:jc w:val="both"/>
        <w:rPr>
          <w:szCs w:val="20"/>
        </w:rPr>
      </w:pPr>
      <w:r>
        <w:rPr>
          <w:noProof/>
          <w:szCs w:val="20"/>
        </w:rPr>
        <w:drawing>
          <wp:inline distT="0" distB="0" distL="0" distR="0" wp14:anchorId="6D1DE1E3" wp14:editId="2E6FC364">
            <wp:extent cx="3093720" cy="1845919"/>
            <wp:effectExtent l="0" t="0" r="0" b="254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94DB8D.tmp"/>
                    <pic:cNvPicPr/>
                  </pic:nvPicPr>
                  <pic:blipFill>
                    <a:blip r:embed="rId14">
                      <a:extLst>
                        <a:ext uri="{28A0092B-C50C-407E-A947-70E740481C1C}">
                          <a14:useLocalDpi xmlns:a14="http://schemas.microsoft.com/office/drawing/2010/main" val="0"/>
                        </a:ext>
                      </a:extLst>
                    </a:blip>
                    <a:stretch>
                      <a:fillRect/>
                    </a:stretch>
                  </pic:blipFill>
                  <pic:spPr>
                    <a:xfrm>
                      <a:off x="0" y="0"/>
                      <a:ext cx="3126032" cy="1865198"/>
                    </a:xfrm>
                    <a:prstGeom prst="rect">
                      <a:avLst/>
                    </a:prstGeom>
                  </pic:spPr>
                </pic:pic>
              </a:graphicData>
            </a:graphic>
          </wp:inline>
        </w:drawing>
      </w:r>
    </w:p>
    <w:p w:rsidR="000E490A" w:rsidRPr="00F617FE" w:rsidRDefault="000E490A" w:rsidP="000E490A">
      <w:pPr>
        <w:spacing w:line="240" w:lineRule="auto"/>
        <w:jc w:val="both"/>
        <w:rPr>
          <w:szCs w:val="20"/>
        </w:rPr>
      </w:pPr>
    </w:p>
    <w:p w:rsidR="00215E0C" w:rsidRDefault="00215E0C">
      <w:pPr>
        <w:spacing w:line="240" w:lineRule="auto"/>
        <w:ind w:left="0"/>
        <w:rPr>
          <w:rFonts w:eastAsia="Calibri"/>
          <w:szCs w:val="20"/>
        </w:rPr>
      </w:pPr>
      <w:r>
        <w:rPr>
          <w:rFonts w:eastAsia="Calibri"/>
          <w:szCs w:val="20"/>
        </w:rPr>
        <w:br w:type="page"/>
      </w:r>
    </w:p>
    <w:p w:rsidR="000E490A" w:rsidRPr="00F617FE" w:rsidRDefault="000E490A" w:rsidP="000E490A">
      <w:pPr>
        <w:jc w:val="both"/>
        <w:rPr>
          <w:rFonts w:eastAsia="Calibri"/>
          <w:szCs w:val="20"/>
        </w:rPr>
      </w:pPr>
    </w:p>
    <w:p w:rsidR="000E490A" w:rsidRPr="000E490A" w:rsidRDefault="000E490A" w:rsidP="000E490A">
      <w:pPr>
        <w:jc w:val="both"/>
        <w:rPr>
          <w:rFonts w:eastAsia="Calibri"/>
          <w:i/>
          <w:szCs w:val="20"/>
          <w:u w:val="single"/>
        </w:rPr>
      </w:pPr>
      <w:r w:rsidRPr="000E490A">
        <w:rPr>
          <w:rFonts w:eastAsia="Calibri"/>
          <w:i/>
          <w:szCs w:val="20"/>
          <w:u w:val="single"/>
        </w:rPr>
        <w:t>Evolution de l’encours de dette au 31 décembre</w:t>
      </w:r>
      <w:r w:rsidR="00215E0C">
        <w:rPr>
          <w:rFonts w:eastAsia="Calibri"/>
          <w:i/>
          <w:szCs w:val="20"/>
          <w:u w:val="single"/>
        </w:rPr>
        <w:t xml:space="preserve"> (en M€), entre 2014 et 2022</w:t>
      </w:r>
      <w:r w:rsidRPr="000E490A">
        <w:rPr>
          <w:rFonts w:eastAsia="Calibri"/>
          <w:i/>
          <w:szCs w:val="20"/>
          <w:u w:val="single"/>
        </w:rPr>
        <w:t> :</w:t>
      </w:r>
    </w:p>
    <w:p w:rsidR="000E490A" w:rsidRDefault="000E490A" w:rsidP="000E490A">
      <w:pPr>
        <w:spacing w:line="240" w:lineRule="auto"/>
        <w:jc w:val="both"/>
        <w:rPr>
          <w:rFonts w:eastAsia="Calibri"/>
          <w:szCs w:val="20"/>
        </w:rPr>
      </w:pPr>
    </w:p>
    <w:p w:rsidR="000E490A" w:rsidRDefault="000E490A" w:rsidP="000E490A">
      <w:pPr>
        <w:spacing w:line="240" w:lineRule="auto"/>
        <w:jc w:val="both"/>
        <w:rPr>
          <w:rFonts w:ascii="Calibri" w:eastAsia="Calibri" w:hAnsi="Calibri" w:cs="Calibri"/>
          <w:highlight w:val="yellow"/>
        </w:rPr>
      </w:pPr>
      <w:r>
        <w:rPr>
          <w:noProof/>
        </w:rPr>
        <w:drawing>
          <wp:inline distT="0" distB="0" distL="0" distR="0" wp14:anchorId="0398AB50" wp14:editId="12F0DEFA">
            <wp:extent cx="6248400" cy="3451860"/>
            <wp:effectExtent l="0" t="0" r="0" b="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490A" w:rsidRDefault="000E490A" w:rsidP="000E490A">
      <w:pPr>
        <w:spacing w:line="240" w:lineRule="auto"/>
        <w:jc w:val="both"/>
        <w:rPr>
          <w:rFonts w:eastAsia="Calibri"/>
          <w:szCs w:val="20"/>
        </w:rPr>
      </w:pPr>
    </w:p>
    <w:p w:rsidR="00C66E79" w:rsidRDefault="00C66E79" w:rsidP="000E490A">
      <w:pPr>
        <w:spacing w:line="240" w:lineRule="auto"/>
        <w:jc w:val="both"/>
        <w:rPr>
          <w:rFonts w:eastAsia="Calibri"/>
          <w:szCs w:val="20"/>
        </w:rPr>
      </w:pPr>
      <w:r>
        <w:rPr>
          <w:rFonts w:eastAsia="Calibri"/>
          <w:szCs w:val="20"/>
        </w:rPr>
        <w:t xml:space="preserve">L’encours est stabilisé à 26 M€. </w:t>
      </w:r>
    </w:p>
    <w:p w:rsidR="00C66E79" w:rsidRDefault="00C66E79" w:rsidP="000E490A">
      <w:pPr>
        <w:spacing w:line="240" w:lineRule="auto"/>
        <w:jc w:val="both"/>
        <w:rPr>
          <w:rFonts w:eastAsia="Calibri"/>
          <w:szCs w:val="20"/>
        </w:rPr>
      </w:pPr>
    </w:p>
    <w:p w:rsidR="002F3D84" w:rsidRDefault="002F3D84" w:rsidP="00F3290B">
      <w:pPr>
        <w:spacing w:line="240" w:lineRule="auto"/>
        <w:jc w:val="both"/>
        <w:rPr>
          <w:szCs w:val="20"/>
        </w:rPr>
      </w:pPr>
    </w:p>
    <w:tbl>
      <w:tblPr>
        <w:tblStyle w:val="Grilledutableau"/>
        <w:tblW w:w="0" w:type="auto"/>
        <w:tblLook w:val="04A0" w:firstRow="1" w:lastRow="0" w:firstColumn="1" w:lastColumn="0" w:noHBand="0" w:noVBand="1"/>
      </w:tblPr>
      <w:tblGrid>
        <w:gridCol w:w="3823"/>
        <w:gridCol w:w="1842"/>
      </w:tblGrid>
      <w:tr w:rsidR="0038355B" w:rsidRPr="0006241D" w:rsidTr="0013490F">
        <w:trPr>
          <w:trHeight w:val="305"/>
        </w:trPr>
        <w:tc>
          <w:tcPr>
            <w:tcW w:w="5665" w:type="dxa"/>
            <w:gridSpan w:val="2"/>
            <w:vAlign w:val="center"/>
          </w:tcPr>
          <w:p w:rsidR="0038355B" w:rsidRPr="0006241D" w:rsidRDefault="00930025" w:rsidP="006B3382">
            <w:pPr>
              <w:spacing w:line="240" w:lineRule="auto"/>
              <w:rPr>
                <w:szCs w:val="20"/>
                <w:u w:val="single"/>
              </w:rPr>
            </w:pPr>
            <w:r>
              <w:rPr>
                <w:szCs w:val="20"/>
                <w:u w:val="single"/>
              </w:rPr>
              <w:t>Réalisé au compte administratif 2022</w:t>
            </w:r>
            <w:r w:rsidR="0038355B" w:rsidRPr="0006241D">
              <w:rPr>
                <w:szCs w:val="20"/>
                <w:u w:val="single"/>
              </w:rPr>
              <w:t> :</w:t>
            </w:r>
          </w:p>
        </w:tc>
      </w:tr>
      <w:tr w:rsidR="0038355B" w:rsidRPr="0006241D" w:rsidTr="0013490F">
        <w:trPr>
          <w:trHeight w:val="350"/>
        </w:trPr>
        <w:tc>
          <w:tcPr>
            <w:tcW w:w="3823" w:type="dxa"/>
            <w:vAlign w:val="center"/>
          </w:tcPr>
          <w:p w:rsidR="0038355B" w:rsidRPr="0006241D" w:rsidRDefault="0038355B" w:rsidP="0013490F">
            <w:pPr>
              <w:spacing w:line="240" w:lineRule="auto"/>
              <w:rPr>
                <w:szCs w:val="20"/>
              </w:rPr>
            </w:pPr>
            <w:r w:rsidRPr="0006241D">
              <w:rPr>
                <w:szCs w:val="20"/>
              </w:rPr>
              <w:t>Frais financiers</w:t>
            </w:r>
          </w:p>
        </w:tc>
        <w:tc>
          <w:tcPr>
            <w:tcW w:w="1842" w:type="dxa"/>
            <w:vAlign w:val="center"/>
          </w:tcPr>
          <w:p w:rsidR="0038355B" w:rsidRPr="0006241D" w:rsidRDefault="00907FA6" w:rsidP="0013490F">
            <w:pPr>
              <w:spacing w:line="240" w:lineRule="auto"/>
              <w:jc w:val="right"/>
              <w:rPr>
                <w:szCs w:val="20"/>
              </w:rPr>
            </w:pPr>
            <w:r>
              <w:rPr>
                <w:szCs w:val="20"/>
              </w:rPr>
              <w:t>513 008,86</w:t>
            </w:r>
            <w:r w:rsidR="0038355B" w:rsidRPr="0006241D">
              <w:rPr>
                <w:szCs w:val="20"/>
              </w:rPr>
              <w:t xml:space="preserve"> €</w:t>
            </w:r>
          </w:p>
        </w:tc>
      </w:tr>
      <w:tr w:rsidR="0038355B" w:rsidRPr="0006241D" w:rsidTr="0013490F">
        <w:trPr>
          <w:trHeight w:val="383"/>
        </w:trPr>
        <w:tc>
          <w:tcPr>
            <w:tcW w:w="3823" w:type="dxa"/>
            <w:vAlign w:val="center"/>
          </w:tcPr>
          <w:p w:rsidR="0038355B" w:rsidRPr="0006241D" w:rsidRDefault="0038355B" w:rsidP="0013490F">
            <w:pPr>
              <w:spacing w:line="240" w:lineRule="auto"/>
              <w:rPr>
                <w:szCs w:val="20"/>
              </w:rPr>
            </w:pPr>
            <w:r w:rsidRPr="0006241D">
              <w:rPr>
                <w:szCs w:val="20"/>
              </w:rPr>
              <w:t>Remboursement en capital de la dette</w:t>
            </w:r>
          </w:p>
        </w:tc>
        <w:tc>
          <w:tcPr>
            <w:tcW w:w="1842" w:type="dxa"/>
            <w:vAlign w:val="center"/>
          </w:tcPr>
          <w:p w:rsidR="0038355B" w:rsidRPr="0006241D" w:rsidRDefault="00D15747" w:rsidP="0013490F">
            <w:pPr>
              <w:spacing w:line="240" w:lineRule="auto"/>
              <w:jc w:val="right"/>
              <w:rPr>
                <w:szCs w:val="20"/>
              </w:rPr>
            </w:pPr>
            <w:r>
              <w:rPr>
                <w:szCs w:val="20"/>
              </w:rPr>
              <w:t>3 024</w:t>
            </w:r>
            <w:r w:rsidR="00B12369">
              <w:rPr>
                <w:szCs w:val="20"/>
              </w:rPr>
              <w:t> </w:t>
            </w:r>
            <w:r>
              <w:rPr>
                <w:szCs w:val="20"/>
              </w:rPr>
              <w:t>496</w:t>
            </w:r>
            <w:r w:rsidR="00B12369">
              <w:rPr>
                <w:szCs w:val="20"/>
              </w:rPr>
              <w:t>,18</w:t>
            </w:r>
            <w:r w:rsidR="004B42F3">
              <w:rPr>
                <w:szCs w:val="20"/>
              </w:rPr>
              <w:t xml:space="preserve"> </w:t>
            </w:r>
            <w:r w:rsidR="0038355B" w:rsidRPr="0006241D">
              <w:rPr>
                <w:szCs w:val="20"/>
              </w:rPr>
              <w:t>€</w:t>
            </w:r>
          </w:p>
        </w:tc>
      </w:tr>
      <w:tr w:rsidR="0038355B" w:rsidRPr="0006241D" w:rsidTr="008D25B1">
        <w:trPr>
          <w:trHeight w:val="380"/>
        </w:trPr>
        <w:tc>
          <w:tcPr>
            <w:tcW w:w="3823" w:type="dxa"/>
            <w:vAlign w:val="center"/>
          </w:tcPr>
          <w:p w:rsidR="0038355B" w:rsidRPr="0006241D" w:rsidRDefault="0038355B" w:rsidP="0013490F">
            <w:pPr>
              <w:spacing w:line="240" w:lineRule="auto"/>
              <w:rPr>
                <w:szCs w:val="20"/>
              </w:rPr>
            </w:pPr>
            <w:r w:rsidRPr="0006241D">
              <w:rPr>
                <w:szCs w:val="20"/>
              </w:rPr>
              <w:t>Nouveaux emprunts</w:t>
            </w:r>
          </w:p>
        </w:tc>
        <w:tc>
          <w:tcPr>
            <w:tcW w:w="1842" w:type="dxa"/>
            <w:vAlign w:val="center"/>
          </w:tcPr>
          <w:p w:rsidR="0038355B" w:rsidRPr="0006241D" w:rsidRDefault="00563F69" w:rsidP="0013490F">
            <w:pPr>
              <w:spacing w:line="240" w:lineRule="auto"/>
              <w:jc w:val="right"/>
              <w:rPr>
                <w:szCs w:val="20"/>
              </w:rPr>
            </w:pPr>
            <w:r>
              <w:rPr>
                <w:szCs w:val="20"/>
              </w:rPr>
              <w:t>3 0</w:t>
            </w:r>
            <w:r w:rsidR="0038355B" w:rsidRPr="0006241D">
              <w:rPr>
                <w:szCs w:val="20"/>
              </w:rPr>
              <w:t>00</w:t>
            </w:r>
            <w:r w:rsidR="001840C3">
              <w:rPr>
                <w:szCs w:val="20"/>
              </w:rPr>
              <w:t> </w:t>
            </w:r>
            <w:r w:rsidR="0038355B" w:rsidRPr="0006241D">
              <w:rPr>
                <w:szCs w:val="20"/>
              </w:rPr>
              <w:t>000</w:t>
            </w:r>
            <w:r w:rsidR="001840C3">
              <w:rPr>
                <w:szCs w:val="20"/>
              </w:rPr>
              <w:t>,00</w:t>
            </w:r>
            <w:r w:rsidR="0038355B" w:rsidRPr="0006241D">
              <w:rPr>
                <w:szCs w:val="20"/>
              </w:rPr>
              <w:t xml:space="preserve"> €</w:t>
            </w:r>
          </w:p>
        </w:tc>
      </w:tr>
    </w:tbl>
    <w:p w:rsidR="0038355B" w:rsidRPr="0006241D" w:rsidRDefault="0038355B" w:rsidP="00F3290B">
      <w:pPr>
        <w:spacing w:line="240" w:lineRule="auto"/>
        <w:jc w:val="both"/>
        <w:rPr>
          <w:szCs w:val="20"/>
        </w:rPr>
      </w:pPr>
    </w:p>
    <w:p w:rsidR="0038355B" w:rsidRPr="0006241D" w:rsidRDefault="0038355B" w:rsidP="00F3290B">
      <w:pPr>
        <w:spacing w:line="240" w:lineRule="auto"/>
        <w:jc w:val="both"/>
        <w:rPr>
          <w:szCs w:val="20"/>
        </w:rPr>
      </w:pPr>
    </w:p>
    <w:p w:rsidR="0038355B" w:rsidRPr="0006241D" w:rsidRDefault="0038355B" w:rsidP="00F3290B">
      <w:pPr>
        <w:spacing w:line="240" w:lineRule="auto"/>
        <w:jc w:val="both"/>
        <w:rPr>
          <w:szCs w:val="20"/>
        </w:rPr>
      </w:pPr>
    </w:p>
    <w:p w:rsidR="0038355B" w:rsidRPr="0006241D" w:rsidRDefault="0038355B" w:rsidP="00F3290B">
      <w:pPr>
        <w:spacing w:line="240" w:lineRule="auto"/>
        <w:jc w:val="both"/>
        <w:rPr>
          <w:szCs w:val="20"/>
        </w:rPr>
      </w:pPr>
      <w:r w:rsidRPr="0006241D">
        <w:rPr>
          <w:szCs w:val="20"/>
        </w:rPr>
        <w:t>Pour consulter le rapport détaillé transmis au conseil municipal :</w:t>
      </w:r>
    </w:p>
    <w:p w:rsidR="0038355B" w:rsidRPr="0006241D" w:rsidRDefault="0038355B" w:rsidP="00F3290B">
      <w:pPr>
        <w:spacing w:line="240" w:lineRule="auto"/>
        <w:jc w:val="both"/>
        <w:rPr>
          <w:szCs w:val="20"/>
        </w:rPr>
      </w:pPr>
      <w:r w:rsidRPr="0006241D">
        <w:rPr>
          <w:szCs w:val="20"/>
          <w:highlight w:val="yellow"/>
        </w:rPr>
        <w:t xml:space="preserve">METTRE LE LIEN du rapport qui </w:t>
      </w:r>
      <w:r w:rsidR="00463658">
        <w:rPr>
          <w:szCs w:val="20"/>
          <w:highlight w:val="yellow"/>
        </w:rPr>
        <w:t>est dans « Conseil Municipal » </w:t>
      </w:r>
      <w:bookmarkStart w:id="0" w:name="_GoBack"/>
      <w:bookmarkEnd w:id="0"/>
    </w:p>
    <w:p w:rsidR="0038355B" w:rsidRPr="0006241D" w:rsidRDefault="0038355B" w:rsidP="00F3290B">
      <w:pPr>
        <w:spacing w:line="240" w:lineRule="auto"/>
        <w:rPr>
          <w:szCs w:val="20"/>
        </w:rPr>
      </w:pPr>
    </w:p>
    <w:sectPr w:rsidR="0038355B" w:rsidRPr="0006241D" w:rsidSect="0055390D">
      <w:footerReference w:type="default" r:id="rId16"/>
      <w:type w:val="continuous"/>
      <w:pgSz w:w="11910" w:h="16840"/>
      <w:pgMar w:top="1135" w:right="840" w:bottom="2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3F" w:rsidRDefault="003A083F" w:rsidP="00330F0E">
      <w:r>
        <w:separator/>
      </w:r>
    </w:p>
  </w:endnote>
  <w:endnote w:type="continuationSeparator" w:id="0">
    <w:p w:rsidR="003A083F" w:rsidRDefault="003A083F" w:rsidP="0033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0E" w:rsidRDefault="00330F0E">
    <w:pPr>
      <w:pStyle w:val="Pieddepage"/>
    </w:pPr>
    <w:r>
      <w:rPr>
        <w:noProof/>
        <w:lang w:eastAsia="fr-FR"/>
      </w:rPr>
      <w:drawing>
        <wp:anchor distT="0" distB="0" distL="0" distR="0" simplePos="0" relativeHeight="251659264" behindDoc="0" locked="0" layoutInCell="1" allowOverlap="1" wp14:anchorId="3BC2CEC0" wp14:editId="3B8263FB">
          <wp:simplePos x="0" y="0"/>
          <wp:positionH relativeFrom="page">
            <wp:posOffset>546100</wp:posOffset>
          </wp:positionH>
          <wp:positionV relativeFrom="paragraph">
            <wp:posOffset>161925</wp:posOffset>
          </wp:positionV>
          <wp:extent cx="6192797" cy="192023"/>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92797" cy="19202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3F" w:rsidRDefault="003A083F" w:rsidP="00330F0E">
      <w:r>
        <w:separator/>
      </w:r>
    </w:p>
  </w:footnote>
  <w:footnote w:type="continuationSeparator" w:id="0">
    <w:p w:rsidR="003A083F" w:rsidRDefault="003A083F" w:rsidP="00330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F58"/>
    <w:multiLevelType w:val="hybridMultilevel"/>
    <w:tmpl w:val="28164E3A"/>
    <w:lvl w:ilvl="0" w:tplc="93DA78D6">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 w15:restartNumberingAfterBreak="0">
    <w:nsid w:val="0FB0759F"/>
    <w:multiLevelType w:val="hybridMultilevel"/>
    <w:tmpl w:val="EA80F146"/>
    <w:lvl w:ilvl="0" w:tplc="93B86D1A">
      <w:numFmt w:val="bullet"/>
      <w:lvlText w:val=""/>
      <w:lvlJc w:val="left"/>
      <w:pPr>
        <w:ind w:left="502" w:hanging="360"/>
      </w:pPr>
      <w:rPr>
        <w:rFonts w:ascii="Wingdings" w:eastAsia="Arial" w:hAnsi="Wingdings"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166B34B9"/>
    <w:multiLevelType w:val="hybridMultilevel"/>
    <w:tmpl w:val="30FA76E6"/>
    <w:lvl w:ilvl="0" w:tplc="C54A49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2039E5"/>
    <w:multiLevelType w:val="hybridMultilevel"/>
    <w:tmpl w:val="163439B2"/>
    <w:lvl w:ilvl="0" w:tplc="3A8A0D7E">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2FF34262"/>
    <w:multiLevelType w:val="hybridMultilevel"/>
    <w:tmpl w:val="B13CB9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144E6"/>
    <w:multiLevelType w:val="hybridMultilevel"/>
    <w:tmpl w:val="B13CB9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EF1068"/>
    <w:multiLevelType w:val="hybridMultilevel"/>
    <w:tmpl w:val="357A0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9C343D"/>
    <w:multiLevelType w:val="hybridMultilevel"/>
    <w:tmpl w:val="9BE87A38"/>
    <w:lvl w:ilvl="0" w:tplc="0C08CF1A">
      <w:start w:val="3"/>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4E87450C"/>
    <w:multiLevelType w:val="hybridMultilevel"/>
    <w:tmpl w:val="5FC45848"/>
    <w:lvl w:ilvl="0" w:tplc="A1522E0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E9E5800"/>
    <w:multiLevelType w:val="hybridMultilevel"/>
    <w:tmpl w:val="259E8A8A"/>
    <w:lvl w:ilvl="0" w:tplc="60B681C0">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51DA6A89"/>
    <w:multiLevelType w:val="hybridMultilevel"/>
    <w:tmpl w:val="851AA736"/>
    <w:lvl w:ilvl="0" w:tplc="724A04CA">
      <w:start w:val="1"/>
      <w:numFmt w:val="decimal"/>
      <w:lvlText w:val="%1."/>
      <w:lvlJc w:val="left"/>
      <w:pPr>
        <w:ind w:left="502" w:hanging="360"/>
      </w:pPr>
    </w:lvl>
    <w:lvl w:ilvl="1" w:tplc="040C0019" w:tentative="1">
      <w:start w:val="1"/>
      <w:numFmt w:val="lowerLetter"/>
      <w:lvlText w:val="%2."/>
      <w:lvlJc w:val="left"/>
      <w:pPr>
        <w:ind w:left="9532" w:hanging="360"/>
      </w:pPr>
    </w:lvl>
    <w:lvl w:ilvl="2" w:tplc="040C001B" w:tentative="1">
      <w:start w:val="1"/>
      <w:numFmt w:val="lowerRoman"/>
      <w:lvlText w:val="%3."/>
      <w:lvlJc w:val="right"/>
      <w:pPr>
        <w:ind w:left="10252" w:hanging="180"/>
      </w:pPr>
    </w:lvl>
    <w:lvl w:ilvl="3" w:tplc="040C000F" w:tentative="1">
      <w:start w:val="1"/>
      <w:numFmt w:val="decimal"/>
      <w:lvlText w:val="%4."/>
      <w:lvlJc w:val="left"/>
      <w:pPr>
        <w:ind w:left="10972" w:hanging="360"/>
      </w:pPr>
    </w:lvl>
    <w:lvl w:ilvl="4" w:tplc="040C0019" w:tentative="1">
      <w:start w:val="1"/>
      <w:numFmt w:val="lowerLetter"/>
      <w:lvlText w:val="%5."/>
      <w:lvlJc w:val="left"/>
      <w:pPr>
        <w:ind w:left="11692" w:hanging="360"/>
      </w:pPr>
    </w:lvl>
    <w:lvl w:ilvl="5" w:tplc="040C001B" w:tentative="1">
      <w:start w:val="1"/>
      <w:numFmt w:val="lowerRoman"/>
      <w:lvlText w:val="%6."/>
      <w:lvlJc w:val="right"/>
      <w:pPr>
        <w:ind w:left="12412" w:hanging="180"/>
      </w:pPr>
    </w:lvl>
    <w:lvl w:ilvl="6" w:tplc="040C000F" w:tentative="1">
      <w:start w:val="1"/>
      <w:numFmt w:val="decimal"/>
      <w:lvlText w:val="%7."/>
      <w:lvlJc w:val="left"/>
      <w:pPr>
        <w:ind w:left="13132" w:hanging="360"/>
      </w:pPr>
    </w:lvl>
    <w:lvl w:ilvl="7" w:tplc="040C0019" w:tentative="1">
      <w:start w:val="1"/>
      <w:numFmt w:val="lowerLetter"/>
      <w:lvlText w:val="%8."/>
      <w:lvlJc w:val="left"/>
      <w:pPr>
        <w:ind w:left="13852" w:hanging="360"/>
      </w:pPr>
    </w:lvl>
    <w:lvl w:ilvl="8" w:tplc="040C001B" w:tentative="1">
      <w:start w:val="1"/>
      <w:numFmt w:val="lowerRoman"/>
      <w:lvlText w:val="%9."/>
      <w:lvlJc w:val="right"/>
      <w:pPr>
        <w:ind w:left="14572" w:hanging="180"/>
      </w:pPr>
    </w:lvl>
  </w:abstractNum>
  <w:abstractNum w:abstractNumId="11" w15:restartNumberingAfterBreak="0">
    <w:nsid w:val="76892F40"/>
    <w:multiLevelType w:val="hybridMultilevel"/>
    <w:tmpl w:val="AE4076D8"/>
    <w:lvl w:ilvl="0" w:tplc="040C000F">
      <w:start w:val="1"/>
      <w:numFmt w:val="decimal"/>
      <w:lvlText w:val="%1."/>
      <w:lvlJc w:val="left"/>
      <w:pPr>
        <w:ind w:left="823" w:hanging="360"/>
      </w:pPr>
    </w:lvl>
    <w:lvl w:ilvl="1" w:tplc="040C0019" w:tentative="1">
      <w:start w:val="1"/>
      <w:numFmt w:val="lowerLetter"/>
      <w:lvlText w:val="%2."/>
      <w:lvlJc w:val="left"/>
      <w:pPr>
        <w:ind w:left="1543" w:hanging="360"/>
      </w:pPr>
    </w:lvl>
    <w:lvl w:ilvl="2" w:tplc="040C001B" w:tentative="1">
      <w:start w:val="1"/>
      <w:numFmt w:val="lowerRoman"/>
      <w:lvlText w:val="%3."/>
      <w:lvlJc w:val="right"/>
      <w:pPr>
        <w:ind w:left="2263" w:hanging="180"/>
      </w:pPr>
    </w:lvl>
    <w:lvl w:ilvl="3" w:tplc="040C000F" w:tentative="1">
      <w:start w:val="1"/>
      <w:numFmt w:val="decimal"/>
      <w:lvlText w:val="%4."/>
      <w:lvlJc w:val="left"/>
      <w:pPr>
        <w:ind w:left="2983" w:hanging="360"/>
      </w:pPr>
    </w:lvl>
    <w:lvl w:ilvl="4" w:tplc="040C0019" w:tentative="1">
      <w:start w:val="1"/>
      <w:numFmt w:val="lowerLetter"/>
      <w:lvlText w:val="%5."/>
      <w:lvlJc w:val="left"/>
      <w:pPr>
        <w:ind w:left="3703" w:hanging="360"/>
      </w:pPr>
    </w:lvl>
    <w:lvl w:ilvl="5" w:tplc="040C001B" w:tentative="1">
      <w:start w:val="1"/>
      <w:numFmt w:val="lowerRoman"/>
      <w:lvlText w:val="%6."/>
      <w:lvlJc w:val="right"/>
      <w:pPr>
        <w:ind w:left="4423" w:hanging="180"/>
      </w:pPr>
    </w:lvl>
    <w:lvl w:ilvl="6" w:tplc="040C000F" w:tentative="1">
      <w:start w:val="1"/>
      <w:numFmt w:val="decimal"/>
      <w:lvlText w:val="%7."/>
      <w:lvlJc w:val="left"/>
      <w:pPr>
        <w:ind w:left="5143" w:hanging="360"/>
      </w:pPr>
    </w:lvl>
    <w:lvl w:ilvl="7" w:tplc="040C0019" w:tentative="1">
      <w:start w:val="1"/>
      <w:numFmt w:val="lowerLetter"/>
      <w:lvlText w:val="%8."/>
      <w:lvlJc w:val="left"/>
      <w:pPr>
        <w:ind w:left="5863" w:hanging="360"/>
      </w:pPr>
    </w:lvl>
    <w:lvl w:ilvl="8" w:tplc="040C001B" w:tentative="1">
      <w:start w:val="1"/>
      <w:numFmt w:val="lowerRoman"/>
      <w:lvlText w:val="%9."/>
      <w:lvlJc w:val="right"/>
      <w:pPr>
        <w:ind w:left="6583" w:hanging="180"/>
      </w:pPr>
    </w:lvl>
  </w:abstractNum>
  <w:abstractNum w:abstractNumId="12" w15:restartNumberingAfterBreak="0">
    <w:nsid w:val="79685322"/>
    <w:multiLevelType w:val="hybridMultilevel"/>
    <w:tmpl w:val="D76E4DF8"/>
    <w:lvl w:ilvl="0" w:tplc="B2D2CD92">
      <w:numFmt w:val="bullet"/>
      <w:lvlText w:val="-"/>
      <w:lvlJc w:val="left"/>
      <w:pPr>
        <w:ind w:left="502" w:hanging="360"/>
      </w:pPr>
      <w:rPr>
        <w:rFonts w:ascii="Arial" w:eastAsia="Arial"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8"/>
  </w:num>
  <w:num w:numId="2">
    <w:abstractNumId w:val="11"/>
  </w:num>
  <w:num w:numId="3">
    <w:abstractNumId w:val="0"/>
  </w:num>
  <w:num w:numId="4">
    <w:abstractNumId w:val="10"/>
  </w:num>
  <w:num w:numId="5">
    <w:abstractNumId w:val="1"/>
  </w:num>
  <w:num w:numId="6">
    <w:abstractNumId w:val="12"/>
  </w:num>
  <w:num w:numId="7">
    <w:abstractNumId w:val="3"/>
  </w:num>
  <w:num w:numId="8">
    <w:abstractNumId w:val="9"/>
  </w:num>
  <w:num w:numId="9">
    <w:abstractNumId w:val="6"/>
  </w:num>
  <w:num w:numId="10">
    <w:abstractNumId w:val="2"/>
  </w:num>
  <w:num w:numId="11">
    <w:abstractNumId w:val="5"/>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DB"/>
    <w:rsid w:val="00025BD5"/>
    <w:rsid w:val="00042C69"/>
    <w:rsid w:val="00051AE2"/>
    <w:rsid w:val="0006241D"/>
    <w:rsid w:val="000841FC"/>
    <w:rsid w:val="00086042"/>
    <w:rsid w:val="00090613"/>
    <w:rsid w:val="000937AF"/>
    <w:rsid w:val="000B0EDC"/>
    <w:rsid w:val="000D462A"/>
    <w:rsid w:val="000E0EE3"/>
    <w:rsid w:val="000E37E3"/>
    <w:rsid w:val="000E482B"/>
    <w:rsid w:val="000E490A"/>
    <w:rsid w:val="000F33C0"/>
    <w:rsid w:val="00100E1F"/>
    <w:rsid w:val="00104945"/>
    <w:rsid w:val="00117001"/>
    <w:rsid w:val="001250B6"/>
    <w:rsid w:val="00132E77"/>
    <w:rsid w:val="0013490F"/>
    <w:rsid w:val="00176775"/>
    <w:rsid w:val="001840C3"/>
    <w:rsid w:val="001965FC"/>
    <w:rsid w:val="001A7F3D"/>
    <w:rsid w:val="001B69F9"/>
    <w:rsid w:val="001C2A69"/>
    <w:rsid w:val="001E4C17"/>
    <w:rsid w:val="0021010B"/>
    <w:rsid w:val="00215E0C"/>
    <w:rsid w:val="00223E8A"/>
    <w:rsid w:val="00223F8C"/>
    <w:rsid w:val="00242B1E"/>
    <w:rsid w:val="00266D1E"/>
    <w:rsid w:val="00272317"/>
    <w:rsid w:val="002A0E69"/>
    <w:rsid w:val="002C65B9"/>
    <w:rsid w:val="002C7281"/>
    <w:rsid w:val="002F3D84"/>
    <w:rsid w:val="00330F0E"/>
    <w:rsid w:val="0035268C"/>
    <w:rsid w:val="0036200D"/>
    <w:rsid w:val="00381844"/>
    <w:rsid w:val="0038355B"/>
    <w:rsid w:val="00394336"/>
    <w:rsid w:val="003A083F"/>
    <w:rsid w:val="003A3F6D"/>
    <w:rsid w:val="003A6A6D"/>
    <w:rsid w:val="003B34EA"/>
    <w:rsid w:val="003F2289"/>
    <w:rsid w:val="004013F0"/>
    <w:rsid w:val="00416403"/>
    <w:rsid w:val="00435AEB"/>
    <w:rsid w:val="004458FC"/>
    <w:rsid w:val="00461146"/>
    <w:rsid w:val="00463658"/>
    <w:rsid w:val="00465A92"/>
    <w:rsid w:val="00497F2C"/>
    <w:rsid w:val="004B42F3"/>
    <w:rsid w:val="004D070A"/>
    <w:rsid w:val="004F0A61"/>
    <w:rsid w:val="004F4AD0"/>
    <w:rsid w:val="00514648"/>
    <w:rsid w:val="00514F95"/>
    <w:rsid w:val="00547B33"/>
    <w:rsid w:val="0055390D"/>
    <w:rsid w:val="0055754D"/>
    <w:rsid w:val="00557E8F"/>
    <w:rsid w:val="005610C8"/>
    <w:rsid w:val="00563F69"/>
    <w:rsid w:val="0058202C"/>
    <w:rsid w:val="005939F7"/>
    <w:rsid w:val="0059409A"/>
    <w:rsid w:val="005A5150"/>
    <w:rsid w:val="005B1AC8"/>
    <w:rsid w:val="005B1F39"/>
    <w:rsid w:val="005C5779"/>
    <w:rsid w:val="005E43B8"/>
    <w:rsid w:val="005E5923"/>
    <w:rsid w:val="00603D48"/>
    <w:rsid w:val="006067B3"/>
    <w:rsid w:val="0063403D"/>
    <w:rsid w:val="006371B2"/>
    <w:rsid w:val="006379CF"/>
    <w:rsid w:val="00663EBA"/>
    <w:rsid w:val="00665D37"/>
    <w:rsid w:val="00695252"/>
    <w:rsid w:val="006A7971"/>
    <w:rsid w:val="006B3382"/>
    <w:rsid w:val="006B7018"/>
    <w:rsid w:val="006C1F87"/>
    <w:rsid w:val="006E1717"/>
    <w:rsid w:val="006F0A53"/>
    <w:rsid w:val="0071677E"/>
    <w:rsid w:val="0072685F"/>
    <w:rsid w:val="007366E2"/>
    <w:rsid w:val="0074291B"/>
    <w:rsid w:val="0074311A"/>
    <w:rsid w:val="00773384"/>
    <w:rsid w:val="00774683"/>
    <w:rsid w:val="0077471A"/>
    <w:rsid w:val="00782321"/>
    <w:rsid w:val="007A0DFE"/>
    <w:rsid w:val="007B3AC6"/>
    <w:rsid w:val="007B426E"/>
    <w:rsid w:val="007B624F"/>
    <w:rsid w:val="007B65DB"/>
    <w:rsid w:val="007B6650"/>
    <w:rsid w:val="007C0ADC"/>
    <w:rsid w:val="007E14CE"/>
    <w:rsid w:val="007E5514"/>
    <w:rsid w:val="00815C42"/>
    <w:rsid w:val="00840C65"/>
    <w:rsid w:val="00847379"/>
    <w:rsid w:val="00850116"/>
    <w:rsid w:val="0085433B"/>
    <w:rsid w:val="008554C6"/>
    <w:rsid w:val="00856507"/>
    <w:rsid w:val="00892683"/>
    <w:rsid w:val="008B6D70"/>
    <w:rsid w:val="008D25B1"/>
    <w:rsid w:val="008E66FF"/>
    <w:rsid w:val="00906DF4"/>
    <w:rsid w:val="00907FA6"/>
    <w:rsid w:val="00913E88"/>
    <w:rsid w:val="00930025"/>
    <w:rsid w:val="00937746"/>
    <w:rsid w:val="009A070D"/>
    <w:rsid w:val="009C4E2D"/>
    <w:rsid w:val="009D6D0E"/>
    <w:rsid w:val="009E0B0D"/>
    <w:rsid w:val="009F1A7A"/>
    <w:rsid w:val="009F2920"/>
    <w:rsid w:val="00A21515"/>
    <w:rsid w:val="00A26D9F"/>
    <w:rsid w:val="00A42673"/>
    <w:rsid w:val="00A539D4"/>
    <w:rsid w:val="00A6081D"/>
    <w:rsid w:val="00A8410A"/>
    <w:rsid w:val="00AA60C8"/>
    <w:rsid w:val="00AA62A9"/>
    <w:rsid w:val="00AD1589"/>
    <w:rsid w:val="00AF4754"/>
    <w:rsid w:val="00B02FCE"/>
    <w:rsid w:val="00B07188"/>
    <w:rsid w:val="00B12369"/>
    <w:rsid w:val="00B1715C"/>
    <w:rsid w:val="00B37B97"/>
    <w:rsid w:val="00B40502"/>
    <w:rsid w:val="00B73E82"/>
    <w:rsid w:val="00B948B9"/>
    <w:rsid w:val="00BB48D7"/>
    <w:rsid w:val="00BC33CE"/>
    <w:rsid w:val="00BD3CF1"/>
    <w:rsid w:val="00C03627"/>
    <w:rsid w:val="00C15EE5"/>
    <w:rsid w:val="00C35D84"/>
    <w:rsid w:val="00C66E79"/>
    <w:rsid w:val="00C7210C"/>
    <w:rsid w:val="00CA29CB"/>
    <w:rsid w:val="00CA330A"/>
    <w:rsid w:val="00CF13E1"/>
    <w:rsid w:val="00D12654"/>
    <w:rsid w:val="00D13008"/>
    <w:rsid w:val="00D15747"/>
    <w:rsid w:val="00D50C1C"/>
    <w:rsid w:val="00D605D2"/>
    <w:rsid w:val="00D7625B"/>
    <w:rsid w:val="00D94614"/>
    <w:rsid w:val="00DC099A"/>
    <w:rsid w:val="00DC2426"/>
    <w:rsid w:val="00DD5C00"/>
    <w:rsid w:val="00E155B7"/>
    <w:rsid w:val="00E2028D"/>
    <w:rsid w:val="00E267C4"/>
    <w:rsid w:val="00E35286"/>
    <w:rsid w:val="00E4071D"/>
    <w:rsid w:val="00E41D0A"/>
    <w:rsid w:val="00E66230"/>
    <w:rsid w:val="00EA52F1"/>
    <w:rsid w:val="00EC0AEC"/>
    <w:rsid w:val="00EC5A72"/>
    <w:rsid w:val="00EC6B64"/>
    <w:rsid w:val="00EE24A1"/>
    <w:rsid w:val="00EE5CF4"/>
    <w:rsid w:val="00F007FF"/>
    <w:rsid w:val="00F176D3"/>
    <w:rsid w:val="00F24291"/>
    <w:rsid w:val="00F27122"/>
    <w:rsid w:val="00F31285"/>
    <w:rsid w:val="00F3290B"/>
    <w:rsid w:val="00F3598A"/>
    <w:rsid w:val="00F44B55"/>
    <w:rsid w:val="00F515DB"/>
    <w:rsid w:val="00F56E2C"/>
    <w:rsid w:val="00F57B7A"/>
    <w:rsid w:val="00F604A1"/>
    <w:rsid w:val="00F70C29"/>
    <w:rsid w:val="00F75316"/>
    <w:rsid w:val="00F94E85"/>
    <w:rsid w:val="00FB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D502001-426C-401B-BE13-EAD49206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6D9F"/>
    <w:pPr>
      <w:spacing w:line="280" w:lineRule="exact"/>
      <w:ind w:left="142"/>
    </w:pPr>
    <w:rPr>
      <w:rFonts w:ascii="Arial" w:eastAsia="Arial" w:hAnsi="Arial" w:cs="Arial"/>
      <w:sz w:val="20"/>
      <w:lang w:val="fr-FR"/>
    </w:rPr>
  </w:style>
  <w:style w:type="paragraph" w:styleId="Titre1">
    <w:name w:val="heading 1"/>
    <w:basedOn w:val="Normal"/>
    <w:next w:val="Normal"/>
    <w:link w:val="Titre1Car"/>
    <w:autoRedefine/>
    <w:uiPriority w:val="9"/>
    <w:qFormat/>
    <w:rsid w:val="00B73E82"/>
    <w:pPr>
      <w:spacing w:before="120"/>
      <w:ind w:left="502" w:hanging="360"/>
      <w:outlineLvl w:val="0"/>
    </w:pPr>
    <w:rPr>
      <w:b/>
      <w:color w:val="231F2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Cs w:val="20"/>
    </w:rPr>
  </w:style>
  <w:style w:type="paragraph" w:styleId="Titre">
    <w:name w:val="Title"/>
    <w:basedOn w:val="Normal"/>
    <w:uiPriority w:val="1"/>
    <w:qFormat/>
    <w:rsid w:val="00F44B55"/>
    <w:pPr>
      <w:spacing w:before="88"/>
      <w:ind w:left="6649"/>
    </w:pPr>
    <w:rPr>
      <w:b/>
      <w:bCs/>
      <w:color w:val="231F20"/>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30F0E"/>
    <w:pPr>
      <w:tabs>
        <w:tab w:val="center" w:pos="4536"/>
        <w:tab w:val="right" w:pos="9072"/>
      </w:tabs>
    </w:pPr>
  </w:style>
  <w:style w:type="character" w:customStyle="1" w:styleId="En-tteCar">
    <w:name w:val="En-tête Car"/>
    <w:basedOn w:val="Policepardfaut"/>
    <w:link w:val="En-tte"/>
    <w:uiPriority w:val="99"/>
    <w:rsid w:val="00330F0E"/>
    <w:rPr>
      <w:rFonts w:ascii="Arial" w:eastAsia="Arial" w:hAnsi="Arial" w:cs="Arial"/>
      <w:lang w:val="fr-FR"/>
    </w:rPr>
  </w:style>
  <w:style w:type="paragraph" w:styleId="Pieddepage">
    <w:name w:val="footer"/>
    <w:basedOn w:val="Normal"/>
    <w:link w:val="PieddepageCar"/>
    <w:uiPriority w:val="99"/>
    <w:unhideWhenUsed/>
    <w:rsid w:val="00330F0E"/>
    <w:pPr>
      <w:tabs>
        <w:tab w:val="center" w:pos="4536"/>
        <w:tab w:val="right" w:pos="9072"/>
      </w:tabs>
    </w:pPr>
  </w:style>
  <w:style w:type="character" w:customStyle="1" w:styleId="PieddepageCar">
    <w:name w:val="Pied de page Car"/>
    <w:basedOn w:val="Policepardfaut"/>
    <w:link w:val="Pieddepage"/>
    <w:uiPriority w:val="99"/>
    <w:rsid w:val="00330F0E"/>
    <w:rPr>
      <w:rFonts w:ascii="Arial" w:eastAsia="Arial" w:hAnsi="Arial" w:cs="Arial"/>
      <w:lang w:val="fr-FR"/>
    </w:rPr>
  </w:style>
  <w:style w:type="character" w:customStyle="1" w:styleId="Titre1Car">
    <w:name w:val="Titre 1 Car"/>
    <w:basedOn w:val="Policepardfaut"/>
    <w:link w:val="Titre1"/>
    <w:uiPriority w:val="9"/>
    <w:rsid w:val="00B73E82"/>
    <w:rPr>
      <w:rFonts w:ascii="Arial" w:eastAsia="Arial" w:hAnsi="Arial" w:cs="Arial"/>
      <w:b/>
      <w:color w:val="231F20"/>
      <w:sz w:val="24"/>
      <w:u w:val="single"/>
      <w:lang w:val="fr-FR"/>
    </w:rPr>
  </w:style>
  <w:style w:type="paragraph" w:styleId="Sansinterligne">
    <w:name w:val="No Spacing"/>
    <w:uiPriority w:val="1"/>
    <w:qFormat/>
    <w:rsid w:val="000841FC"/>
    <w:pPr>
      <w:ind w:left="142"/>
    </w:pPr>
    <w:rPr>
      <w:rFonts w:ascii="Arial" w:eastAsia="Arial" w:hAnsi="Arial" w:cs="Arial"/>
      <w:sz w:val="20"/>
      <w:lang w:val="fr-FR"/>
    </w:rPr>
  </w:style>
  <w:style w:type="table" w:styleId="Grilledutableau">
    <w:name w:val="Table Grid"/>
    <w:basedOn w:val="TableauNormal"/>
    <w:uiPriority w:val="39"/>
    <w:rsid w:val="00D6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202486">
      <w:bodyDiv w:val="1"/>
      <w:marLeft w:val="0"/>
      <w:marRight w:val="0"/>
      <w:marTop w:val="0"/>
      <w:marBottom w:val="0"/>
      <w:divBdr>
        <w:top w:val="none" w:sz="0" w:space="0" w:color="auto"/>
        <w:left w:val="none" w:sz="0" w:space="0" w:color="auto"/>
        <w:bottom w:val="none" w:sz="0" w:space="0" w:color="auto"/>
        <w:right w:val="none" w:sz="0" w:space="0" w:color="auto"/>
      </w:divBdr>
    </w:div>
    <w:div w:id="657880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tmp"/></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euille_de_calcul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Feuille_de_calcul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Feuille_de_calcul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800" b="1" i="0" baseline="0">
                <a:effectLst/>
              </a:rPr>
              <a:t>Répartition des principales dépenses réelles de fonctionnement (en M€)</a:t>
            </a:r>
            <a:endParaRPr lang="fr-FR">
              <a:effectLs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0"/>
              <c:layout>
                <c:manualLayout>
                  <c:x val="-6.2130424351799135E-2"/>
                  <c:y val="9.517098406177489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5948050831981616E-2"/>
                  <c:y val="1.073398433891409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625835651853205E-2"/>
                  <c:y val="9.193551892969900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8157680835598142E-2"/>
                  <c:y val="5.625383783548798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60149387874904E-2"/>
                  <c:y val="0.124994430044070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5005281570363049E-2"/>
                  <c:y val="5.3046630040810082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'DF (2)'!$B$6:$B$12</c:f>
              <c:strCache>
                <c:ptCount val="7"/>
                <c:pt idx="0">
                  <c:v>Charges à caractère général</c:v>
                </c:pt>
                <c:pt idx="1">
                  <c:v>Charges de personnel</c:v>
                </c:pt>
                <c:pt idx="2">
                  <c:v>Fonds de péréquation (FPIC) et Prélèvement amendes de police</c:v>
                </c:pt>
                <c:pt idx="3">
                  <c:v>Contribution au Territoire Grand-Orly-Seine-Bièvre</c:v>
                </c:pt>
                <c:pt idx="4">
                  <c:v>Subventions (CCAS et Associations)</c:v>
                </c:pt>
                <c:pt idx="5">
                  <c:v>Remboursement des intérêts de la dette</c:v>
                </c:pt>
                <c:pt idx="6">
                  <c:v>Autres charges</c:v>
                </c:pt>
              </c:strCache>
            </c:strRef>
          </c:cat>
          <c:val>
            <c:numRef>
              <c:f>'DF (2)'!$C$6:$C$12</c:f>
              <c:numCache>
                <c:formatCode>_-* #\ ##0.0\ _€_-;\-* #\ ##0.0\ _€_-;_-* "-"??\ _€_-;_-@_-</c:formatCode>
                <c:ptCount val="7"/>
                <c:pt idx="0">
                  <c:v>7.2689637100000004</c:v>
                </c:pt>
                <c:pt idx="1">
                  <c:v>25.19283021</c:v>
                </c:pt>
                <c:pt idx="2">
                  <c:v>0.67781499999999995</c:v>
                </c:pt>
                <c:pt idx="3">
                  <c:v>6.8657131400000004</c:v>
                </c:pt>
                <c:pt idx="4">
                  <c:v>1.1275525399999999</c:v>
                </c:pt>
                <c:pt idx="5">
                  <c:v>0.51300886000000001</c:v>
                </c:pt>
                <c:pt idx="6">
                  <c:v>1.24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800" b="1" i="0" baseline="0">
                <a:effectLst/>
                <a:latin typeface="Arial" panose="020B0604020202020204" pitchFamily="34" charset="0"/>
                <a:cs typeface="Arial" panose="020B0604020202020204" pitchFamily="34" charset="0"/>
              </a:rPr>
              <a:t>Répartition des principales recettes réelles de fonctionnement (en M€)</a:t>
            </a:r>
            <a:endParaRPr lang="fr-FR">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Lbls>
            <c:dLbl>
              <c:idx val="0"/>
              <c:layout>
                <c:manualLayout>
                  <c:x val="-1.6453939761026416E-2"/>
                  <c:y val="9.1788971842882497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927133234219848E-2"/>
                  <c:y val="9.7098688797809557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4546005175926442E-2"/>
                  <c:y val="-2.7242167083326246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0210340840262097E-2"/>
                  <c:y val="4.223737691535851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3389314097975519E-2"/>
                  <c:y val="5.546589343718638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5225483178239082E-2"/>
                  <c:y val="9.328582847230489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5040654883174526E-2"/>
                  <c:y val="0.121860455887938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538094451480236E-2"/>
                  <c:y val="7.829713780377881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6.4445790430042397E-3"/>
                  <c:y val="0.165761353264967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'RF (2)'!$C$31:$C$40</c:f>
              <c:strCache>
                <c:ptCount val="10"/>
                <c:pt idx="0">
                  <c:v>Résultat de fonctionnement reporté</c:v>
                </c:pt>
                <c:pt idx="1">
                  <c:v>Produits des services et du domaine</c:v>
                </c:pt>
                <c:pt idx="2">
                  <c:v>Impôts locaux et compensations fiscales</c:v>
                </c:pt>
                <c:pt idx="3">
                  <c:v> Attribution de compensation de la Métropole du Grand Paris</c:v>
                </c:pt>
                <c:pt idx="4">
                  <c:v>Fonds de solidarité des communes de la région Ile de France (FSRIF)</c:v>
                </c:pt>
                <c:pt idx="5">
                  <c:v>Autres impôts et taxes</c:v>
                </c:pt>
                <c:pt idx="6">
                  <c:v>Dotation globale de fonctionnement</c:v>
                </c:pt>
                <c:pt idx="7">
                  <c:v>Autres dotations et participations</c:v>
                </c:pt>
                <c:pt idx="8">
                  <c:v>Produits des cessions</c:v>
                </c:pt>
                <c:pt idx="9">
                  <c:v>Autres produits divers</c:v>
                </c:pt>
              </c:strCache>
            </c:strRef>
          </c:cat>
          <c:val>
            <c:numRef>
              <c:f>'RF (2)'!$F$31:$F$40</c:f>
              <c:numCache>
                <c:formatCode>#\ ##0.0\ _€</c:formatCode>
                <c:ptCount val="10"/>
                <c:pt idx="0">
                  <c:v>2.1336646400000001</c:v>
                </c:pt>
                <c:pt idx="1">
                  <c:v>2.8166919400000001</c:v>
                </c:pt>
                <c:pt idx="2">
                  <c:v>25.532416999999999</c:v>
                </c:pt>
                <c:pt idx="3">
                  <c:v>6.8675689999999996</c:v>
                </c:pt>
                <c:pt idx="4">
                  <c:v>0.87258199999999997</c:v>
                </c:pt>
                <c:pt idx="5">
                  <c:v>2.5815159400000001</c:v>
                </c:pt>
                <c:pt idx="6">
                  <c:v>2.4077500000000001</c:v>
                </c:pt>
                <c:pt idx="7">
                  <c:v>2.57702747</c:v>
                </c:pt>
                <c:pt idx="8">
                  <c:v>0.95904999999999996</c:v>
                </c:pt>
                <c:pt idx="9">
                  <c:v>0.31233313000000001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613958028306479"/>
          <c:y val="0.21994781104798095"/>
          <c:w val="0.39921913128355296"/>
          <c:h val="0.7511326890403200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800" b="1" i="0" baseline="0">
                <a:effectLst/>
                <a:latin typeface="Arial" panose="020B0604020202020204" pitchFamily="34" charset="0"/>
                <a:cs typeface="Arial" panose="020B0604020202020204" pitchFamily="34" charset="0"/>
              </a:rPr>
              <a:t>Répartition des principales dépenses réelles d'investissement (en M€)</a:t>
            </a:r>
            <a:endParaRPr lang="fr-FR" sz="1800">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0.12284390502747544"/>
                  <c:y val="-9.7336623244675766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826814389042661E-2"/>
                  <c:y val="-0.12553037725123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902246106617946"/>
                  <c:y val="-4.9793473396470604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737076963072926E-2"/>
                  <c:y val="0.11870713741427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'DI (2)'!$B$6:$B$9</c:f>
              <c:strCache>
                <c:ptCount val="4"/>
                <c:pt idx="0">
                  <c:v>Remboursement du capital de la dette</c:v>
                </c:pt>
                <c:pt idx="1">
                  <c:v>Immobilisations incorporelles (logiciels, études et fonds de commerce)</c:v>
                </c:pt>
                <c:pt idx="2">
                  <c:v>Immobilisations corporelles et en cours (travaux, entretien des équipements, acquisition de mobilier et matériel)</c:v>
                </c:pt>
                <c:pt idx="3">
                  <c:v>Autres dépenses d'investissement</c:v>
                </c:pt>
              </c:strCache>
            </c:strRef>
          </c:cat>
          <c:val>
            <c:numRef>
              <c:f>'DI (2)'!$C$6:$C$9</c:f>
              <c:numCache>
                <c:formatCode>_-* #\ ##0.0\ _€_-;\-* #\ ##0.0\ _€_-;_-* "-"??\ _€_-;_-@_-</c:formatCode>
                <c:ptCount val="4"/>
                <c:pt idx="0">
                  <c:v>3.0244961799999999</c:v>
                </c:pt>
                <c:pt idx="1">
                  <c:v>0.43096106000000001</c:v>
                </c:pt>
                <c:pt idx="2">
                  <c:v>3.3341637999999998</c:v>
                </c:pt>
                <c:pt idx="3">
                  <c:v>0.37267864000000001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814079151250676"/>
          <c:y val="0.2244341363270185"/>
          <c:w val="0.38679896752363779"/>
          <c:h val="0.6905706712403524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sz="1800" b="1" i="0" baseline="0">
                <a:effectLst/>
                <a:latin typeface="Arial" panose="020B0604020202020204" pitchFamily="34" charset="0"/>
                <a:cs typeface="Arial" panose="020B0604020202020204" pitchFamily="34" charset="0"/>
              </a:rPr>
              <a:t>Répartition des principales recettes réelles d'investissement (en M€)</a:t>
            </a:r>
            <a:endParaRPr lang="fr-FR" sz="1800">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3.201984282756444E-2"/>
                  <c:y val="0.1191018135797158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660412866280287"/>
                  <c:y val="5.8073204032393086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137052516529319E-2"/>
                  <c:y val="-0.128857675450901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084605260119614"/>
                  <c:y val="-8.2228290347317028E-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'RI (2)'!$A$6:$A$9</c:f>
              <c:strCache>
                <c:ptCount val="4"/>
                <c:pt idx="0">
                  <c:v>FCTVA et taxe d'aménagement</c:v>
                </c:pt>
                <c:pt idx="1">
                  <c:v>Excédent de fonctionnement capitalisé</c:v>
                </c:pt>
                <c:pt idx="2">
                  <c:v>Subventions d'investissement reçues</c:v>
                </c:pt>
                <c:pt idx="3">
                  <c:v>Emprunts</c:v>
                </c:pt>
              </c:strCache>
            </c:strRef>
          </c:cat>
          <c:val>
            <c:numRef>
              <c:f>'RI (2)'!$B$6:$B$9</c:f>
              <c:numCache>
                <c:formatCode>_-* #\ ##0.0\ _€_-;\-* #\ ##0.0\ _€_-;_-* "-"??\ _€_-;_-@_-</c:formatCode>
                <c:ptCount val="4"/>
                <c:pt idx="0">
                  <c:v>0.41059638999999998</c:v>
                </c:pt>
                <c:pt idx="1">
                  <c:v>1.76346336</c:v>
                </c:pt>
                <c:pt idx="2">
                  <c:v>0.69027223000000004</c:v>
                </c:pt>
                <c:pt idx="3">
                  <c:v>3.0022500000000001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948318111819732"/>
          <c:y val="0.30460545880040862"/>
          <c:w val="0.38543386262237583"/>
          <c:h val="0.5114787375715966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'encours dette'!$C$13</c:f>
              <c:strCache>
                <c:ptCount val="1"/>
                <c:pt idx="0">
                  <c:v>Encours de dette au 31/12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numFmt formatCode="#,##0.0\ &quot;€&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'encours dette'!$D$12:$L$12</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'encours dette'!$D$13:$L$13</c:f>
              <c:numCache>
                <c:formatCode>_-* #\ ##0.0\ _€_-;\-* #\ ##0.0\ _€_-;_-* "-"??\ _€_-;_-@_-</c:formatCode>
                <c:ptCount val="9"/>
                <c:pt idx="0">
                  <c:v>28.884295309999999</c:v>
                </c:pt>
                <c:pt idx="1">
                  <c:v>26.260824</c:v>
                </c:pt>
                <c:pt idx="2">
                  <c:v>24.99</c:v>
                </c:pt>
                <c:pt idx="3">
                  <c:v>23.155397000000001</c:v>
                </c:pt>
                <c:pt idx="4">
                  <c:v>24.817771</c:v>
                </c:pt>
                <c:pt idx="5">
                  <c:v>25.548967999999999</c:v>
                </c:pt>
                <c:pt idx="6">
                  <c:v>26.014447000000001</c:v>
                </c:pt>
                <c:pt idx="7">
                  <c:v>25.97076199</c:v>
                </c:pt>
                <c:pt idx="8">
                  <c:v>25.947542899999998</c:v>
                </c:pt>
              </c:numCache>
            </c:numRef>
          </c:val>
        </c:ser>
        <c:dLbls>
          <c:showLegendKey val="0"/>
          <c:showVal val="1"/>
          <c:showCatName val="0"/>
          <c:showSerName val="0"/>
          <c:showPercent val="0"/>
          <c:showBubbleSize val="0"/>
        </c:dLbls>
        <c:gapWidth val="100"/>
        <c:overlap val="-24"/>
        <c:axId val="-1438636576"/>
        <c:axId val="-1438634400"/>
      </c:barChart>
      <c:catAx>
        <c:axId val="-14386365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1438634400"/>
        <c:crosses val="autoZero"/>
        <c:auto val="1"/>
        <c:lblAlgn val="ctr"/>
        <c:lblOffset val="100"/>
        <c:noMultiLvlLbl val="0"/>
      </c:catAx>
      <c:valAx>
        <c:axId val="-1438634400"/>
        <c:scaling>
          <c:orientation val="minMax"/>
        </c:scaling>
        <c:delete val="0"/>
        <c:axPos val="l"/>
        <c:majorGridlines>
          <c:spPr>
            <a:ln w="9525" cap="flat" cmpd="sng" algn="ctr">
              <a:solidFill>
                <a:schemeClr val="tx2">
                  <a:lumMod val="15000"/>
                  <a:lumOff val="85000"/>
                </a:schemeClr>
              </a:solidFill>
              <a:round/>
            </a:ln>
            <a:effectLst/>
          </c:spPr>
        </c:majorGridlines>
        <c:numFmt formatCode="#,##0\ &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1438636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EFB8-8784-4955-BD3E-E35BA467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6</Pages>
  <Words>853</Words>
  <Characters>4693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LUTAUD Charline</dc:creator>
  <cp:lastModifiedBy>LUTAUD Charline</cp:lastModifiedBy>
  <cp:revision>247</cp:revision>
  <dcterms:created xsi:type="dcterms:W3CDTF">2023-05-10T14:37:00Z</dcterms:created>
  <dcterms:modified xsi:type="dcterms:W3CDTF">2023-12-29T09:36:00Z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Adobe InDesign 18.1 (Windows)</vt:lpwstr>
  </property>
  <property fmtid="{D5CDD505-2E9C-101B-9397-08002B2CF9AE}" pid="4" name="LastSaved">
    <vt:filetime>2023-03-20T00:00:00Z</vt:filetime>
  </property>
  <property fmtid="{D5CDD505-2E9C-101B-9397-08002B2CF9AE}" pid="5" name="Producer">
    <vt:lpwstr>Adobe PDF Library 17.0</vt:lpwstr>
  </property>
</Properties>
</file>